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10" w:rsidRPr="003B273C" w:rsidRDefault="00BB4A10" w:rsidP="00465F27">
      <w:pPr>
        <w:tabs>
          <w:tab w:val="left" w:pos="1800"/>
        </w:tabs>
        <w:jc w:val="center"/>
        <w:rPr>
          <w:rFonts w:cs="Arial"/>
          <w:b/>
          <w:sz w:val="24"/>
          <w:szCs w:val="24"/>
        </w:rPr>
      </w:pPr>
      <w:r w:rsidRPr="003B273C">
        <w:rPr>
          <w:rFonts w:cs="Arial"/>
          <w:b/>
          <w:sz w:val="24"/>
          <w:szCs w:val="24"/>
        </w:rPr>
        <w:t xml:space="preserve">Report of </w:t>
      </w:r>
      <w:r w:rsidR="008A5175" w:rsidRPr="003B273C">
        <w:rPr>
          <w:rFonts w:cs="Arial"/>
          <w:b/>
          <w:sz w:val="24"/>
          <w:szCs w:val="24"/>
        </w:rPr>
        <w:t xml:space="preserve">Licensing </w:t>
      </w:r>
      <w:r w:rsidR="00C318A9">
        <w:rPr>
          <w:rFonts w:cs="Arial"/>
          <w:b/>
          <w:sz w:val="24"/>
          <w:szCs w:val="24"/>
        </w:rPr>
        <w:t>Manager</w:t>
      </w:r>
    </w:p>
    <w:p w:rsidR="00BB4A10" w:rsidRPr="003B273C" w:rsidRDefault="003B273C" w:rsidP="00465F27">
      <w:pPr>
        <w:tabs>
          <w:tab w:val="left" w:pos="1800"/>
        </w:tabs>
        <w:jc w:val="center"/>
        <w:rPr>
          <w:rFonts w:cs="Arial"/>
          <w:b/>
          <w:sz w:val="24"/>
          <w:szCs w:val="24"/>
        </w:rPr>
      </w:pPr>
      <w:proofErr w:type="gramStart"/>
      <w:r>
        <w:rPr>
          <w:rFonts w:cs="Arial"/>
          <w:b/>
          <w:sz w:val="24"/>
          <w:szCs w:val="24"/>
        </w:rPr>
        <w:t>t</w:t>
      </w:r>
      <w:r w:rsidR="00BB4A10" w:rsidRPr="003B273C">
        <w:rPr>
          <w:rFonts w:cs="Arial"/>
          <w:b/>
          <w:sz w:val="24"/>
          <w:szCs w:val="24"/>
        </w:rPr>
        <w:t>o</w:t>
      </w:r>
      <w:proofErr w:type="gramEnd"/>
    </w:p>
    <w:p w:rsidR="003125CC" w:rsidRDefault="00B63D44" w:rsidP="00465F27">
      <w:pPr>
        <w:tabs>
          <w:tab w:val="left" w:pos="1800"/>
        </w:tabs>
        <w:jc w:val="center"/>
        <w:rPr>
          <w:rFonts w:cs="Arial"/>
          <w:b/>
          <w:sz w:val="24"/>
          <w:szCs w:val="24"/>
        </w:rPr>
      </w:pPr>
      <w:r w:rsidRPr="003B273C">
        <w:rPr>
          <w:rFonts w:cs="Arial"/>
          <w:b/>
          <w:sz w:val="24"/>
          <w:szCs w:val="24"/>
        </w:rPr>
        <w:t>Licensing Committee</w:t>
      </w:r>
    </w:p>
    <w:p w:rsidR="003B273C" w:rsidRPr="003B273C" w:rsidRDefault="003B273C" w:rsidP="00465F27">
      <w:pPr>
        <w:tabs>
          <w:tab w:val="left" w:pos="1800"/>
        </w:tabs>
        <w:jc w:val="center"/>
        <w:rPr>
          <w:rFonts w:cs="Arial"/>
          <w:b/>
          <w:sz w:val="24"/>
          <w:szCs w:val="24"/>
        </w:rPr>
      </w:pPr>
      <w:proofErr w:type="gramStart"/>
      <w:r>
        <w:rPr>
          <w:rFonts w:cs="Arial"/>
          <w:b/>
          <w:sz w:val="24"/>
          <w:szCs w:val="24"/>
        </w:rPr>
        <w:t>on</w:t>
      </w:r>
      <w:proofErr w:type="gramEnd"/>
    </w:p>
    <w:p w:rsidR="00BB4A10" w:rsidRPr="003B273C" w:rsidRDefault="00F01B0E" w:rsidP="00465F27">
      <w:pPr>
        <w:tabs>
          <w:tab w:val="left" w:pos="1800"/>
        </w:tabs>
        <w:jc w:val="center"/>
        <w:rPr>
          <w:rFonts w:cs="Arial"/>
          <w:b/>
          <w:sz w:val="24"/>
          <w:szCs w:val="24"/>
        </w:rPr>
      </w:pPr>
      <w:r>
        <w:rPr>
          <w:rFonts w:cs="Arial"/>
          <w:b/>
          <w:sz w:val="24"/>
          <w:szCs w:val="24"/>
        </w:rPr>
        <w:t>14</w:t>
      </w:r>
      <w:r w:rsidRPr="00645FFA">
        <w:rPr>
          <w:rFonts w:cs="Arial"/>
          <w:b/>
          <w:sz w:val="24"/>
          <w:szCs w:val="24"/>
          <w:vertAlign w:val="superscript"/>
        </w:rPr>
        <w:t>th</w:t>
      </w:r>
      <w:r>
        <w:rPr>
          <w:rFonts w:cs="Arial"/>
          <w:b/>
          <w:sz w:val="24"/>
          <w:szCs w:val="24"/>
        </w:rPr>
        <w:t xml:space="preserve"> July 2022</w:t>
      </w:r>
    </w:p>
    <w:p w:rsidR="00BB4A10" w:rsidRDefault="00BB4A10" w:rsidP="009074B6">
      <w:pPr>
        <w:tabs>
          <w:tab w:val="left" w:pos="1800"/>
        </w:tabs>
        <w:spacing w:line="360" w:lineRule="auto"/>
        <w:jc w:val="center"/>
        <w:rPr>
          <w:rFonts w:cs="Arial"/>
          <w:sz w:val="24"/>
          <w:szCs w:val="24"/>
        </w:rPr>
      </w:pPr>
    </w:p>
    <w:p w:rsidR="00C318A9" w:rsidRPr="00C318A9" w:rsidRDefault="00C318A9" w:rsidP="00415541">
      <w:pPr>
        <w:pBdr>
          <w:top w:val="single" w:sz="12" w:space="1" w:color="auto"/>
          <w:bottom w:val="single" w:sz="12" w:space="1" w:color="auto"/>
        </w:pBdr>
        <w:tabs>
          <w:tab w:val="left" w:pos="1800"/>
        </w:tabs>
        <w:spacing w:line="360" w:lineRule="auto"/>
        <w:jc w:val="center"/>
        <w:rPr>
          <w:b/>
          <w:sz w:val="12"/>
          <w:szCs w:val="12"/>
        </w:rPr>
      </w:pPr>
    </w:p>
    <w:p w:rsidR="00BB4A10" w:rsidRPr="00465F27" w:rsidRDefault="006E4E59" w:rsidP="00415541">
      <w:pPr>
        <w:pBdr>
          <w:top w:val="single" w:sz="12" w:space="1" w:color="auto"/>
          <w:bottom w:val="single" w:sz="12" w:space="1" w:color="auto"/>
        </w:pBdr>
        <w:tabs>
          <w:tab w:val="left" w:pos="1800"/>
        </w:tabs>
        <w:spacing w:line="360" w:lineRule="auto"/>
        <w:jc w:val="center"/>
        <w:rPr>
          <w:b/>
          <w:sz w:val="24"/>
          <w:szCs w:val="24"/>
        </w:rPr>
      </w:pPr>
      <w:r>
        <w:rPr>
          <w:b/>
          <w:sz w:val="24"/>
          <w:szCs w:val="24"/>
        </w:rPr>
        <w:t>LICENSING ACTIVITY UPDATE</w:t>
      </w:r>
    </w:p>
    <w:p w:rsidR="00C318A9" w:rsidRDefault="00C318A9" w:rsidP="0089260C">
      <w:pPr>
        <w:rPr>
          <w:b/>
          <w:sz w:val="24"/>
          <w:szCs w:val="24"/>
        </w:rPr>
      </w:pPr>
    </w:p>
    <w:p w:rsidR="00BB4A10" w:rsidRDefault="00415541" w:rsidP="00323174">
      <w:pPr>
        <w:numPr>
          <w:ilvl w:val="0"/>
          <w:numId w:val="1"/>
        </w:numPr>
        <w:tabs>
          <w:tab w:val="left" w:pos="720"/>
          <w:tab w:val="right" w:pos="9000"/>
        </w:tabs>
        <w:ind w:hanging="1080"/>
        <w:rPr>
          <w:rFonts w:cs="Arial"/>
          <w:b/>
          <w:sz w:val="24"/>
          <w:szCs w:val="24"/>
        </w:rPr>
      </w:pPr>
      <w:r>
        <w:rPr>
          <w:rFonts w:cs="Arial"/>
          <w:b/>
          <w:sz w:val="24"/>
          <w:szCs w:val="24"/>
        </w:rPr>
        <w:t>SUMMARY</w:t>
      </w:r>
    </w:p>
    <w:p w:rsidR="00BB4A10" w:rsidRDefault="00BB4A10" w:rsidP="009074B6">
      <w:pPr>
        <w:tabs>
          <w:tab w:val="left" w:pos="720"/>
          <w:tab w:val="right" w:pos="9000"/>
        </w:tabs>
        <w:rPr>
          <w:rFonts w:cs="Arial"/>
          <w:b/>
          <w:sz w:val="24"/>
          <w:szCs w:val="24"/>
        </w:rPr>
      </w:pPr>
    </w:p>
    <w:p w:rsidR="00C67AE9" w:rsidRPr="00C67AE9" w:rsidRDefault="00415541" w:rsidP="00415541">
      <w:pPr>
        <w:tabs>
          <w:tab w:val="left" w:pos="720"/>
          <w:tab w:val="right" w:pos="9000"/>
        </w:tabs>
        <w:ind w:left="720" w:hanging="720"/>
        <w:rPr>
          <w:rFonts w:cs="Arial"/>
          <w:sz w:val="24"/>
          <w:szCs w:val="24"/>
        </w:rPr>
      </w:pPr>
      <w:r>
        <w:rPr>
          <w:rFonts w:cs="Arial"/>
          <w:sz w:val="24"/>
          <w:szCs w:val="24"/>
        </w:rPr>
        <w:t>1.1</w:t>
      </w:r>
      <w:r>
        <w:rPr>
          <w:rFonts w:cs="Arial"/>
          <w:sz w:val="24"/>
          <w:szCs w:val="24"/>
        </w:rPr>
        <w:tab/>
      </w:r>
      <w:r w:rsidR="00C67AE9" w:rsidRPr="00C67AE9">
        <w:rPr>
          <w:rFonts w:cs="Arial"/>
          <w:sz w:val="24"/>
          <w:szCs w:val="24"/>
        </w:rPr>
        <w:t xml:space="preserve">This report provides members of the </w:t>
      </w:r>
      <w:r w:rsidR="00C67AE9">
        <w:rPr>
          <w:rFonts w:cs="Arial"/>
          <w:sz w:val="24"/>
          <w:szCs w:val="24"/>
        </w:rPr>
        <w:t>Licensing</w:t>
      </w:r>
      <w:r w:rsidR="00C67AE9" w:rsidRPr="00C67AE9">
        <w:rPr>
          <w:rFonts w:cs="Arial"/>
          <w:sz w:val="24"/>
          <w:szCs w:val="24"/>
        </w:rPr>
        <w:t xml:space="preserve"> Committee with</w:t>
      </w:r>
      <w:r w:rsidR="00C67AE9">
        <w:rPr>
          <w:rFonts w:cs="Arial"/>
          <w:sz w:val="24"/>
          <w:szCs w:val="24"/>
        </w:rPr>
        <w:t xml:space="preserve"> an update on </w:t>
      </w:r>
      <w:r>
        <w:rPr>
          <w:rFonts w:cs="Arial"/>
          <w:sz w:val="24"/>
          <w:szCs w:val="24"/>
        </w:rPr>
        <w:t>key areas of work within</w:t>
      </w:r>
      <w:r w:rsidR="00C67AE9">
        <w:rPr>
          <w:rFonts w:cs="Arial"/>
          <w:sz w:val="24"/>
          <w:szCs w:val="24"/>
        </w:rPr>
        <w:t xml:space="preserve"> the Licensing Team. </w:t>
      </w:r>
      <w:r w:rsidR="00C67AE9" w:rsidRPr="00C67AE9">
        <w:rPr>
          <w:rFonts w:cs="Arial"/>
          <w:sz w:val="24"/>
          <w:szCs w:val="24"/>
        </w:rPr>
        <w:t xml:space="preserve">An update report will be submitted to every </w:t>
      </w:r>
      <w:r w:rsidR="00C67AE9">
        <w:rPr>
          <w:rFonts w:cs="Arial"/>
          <w:sz w:val="24"/>
          <w:szCs w:val="24"/>
        </w:rPr>
        <w:t>Licensing</w:t>
      </w:r>
      <w:r w:rsidR="00C67AE9" w:rsidRPr="00C67AE9">
        <w:rPr>
          <w:rFonts w:cs="Arial"/>
          <w:sz w:val="24"/>
          <w:szCs w:val="24"/>
        </w:rPr>
        <w:t xml:space="preserve"> Committee meeting.</w:t>
      </w:r>
    </w:p>
    <w:p w:rsidR="00C67AE9" w:rsidRDefault="00C67AE9" w:rsidP="009074B6">
      <w:pPr>
        <w:tabs>
          <w:tab w:val="left" w:pos="720"/>
          <w:tab w:val="right" w:pos="9000"/>
        </w:tabs>
        <w:rPr>
          <w:rFonts w:cs="Arial"/>
          <w:sz w:val="24"/>
          <w:szCs w:val="24"/>
        </w:rPr>
      </w:pPr>
    </w:p>
    <w:p w:rsidR="00440557" w:rsidRDefault="00440557" w:rsidP="009074B6">
      <w:pPr>
        <w:tabs>
          <w:tab w:val="left" w:pos="720"/>
          <w:tab w:val="right" w:pos="9000"/>
        </w:tabs>
        <w:rPr>
          <w:rFonts w:cs="Arial"/>
          <w:sz w:val="24"/>
          <w:szCs w:val="24"/>
        </w:rPr>
      </w:pPr>
    </w:p>
    <w:p w:rsidR="00BB4A10" w:rsidRDefault="00BB4A10" w:rsidP="00323174">
      <w:pPr>
        <w:numPr>
          <w:ilvl w:val="0"/>
          <w:numId w:val="1"/>
        </w:numPr>
        <w:tabs>
          <w:tab w:val="left" w:pos="720"/>
          <w:tab w:val="right" w:pos="9000"/>
        </w:tabs>
        <w:ind w:hanging="1080"/>
        <w:rPr>
          <w:rFonts w:cs="Arial"/>
          <w:b/>
          <w:sz w:val="24"/>
          <w:szCs w:val="24"/>
        </w:rPr>
      </w:pPr>
      <w:r>
        <w:rPr>
          <w:rFonts w:cs="Arial"/>
          <w:b/>
          <w:sz w:val="24"/>
          <w:szCs w:val="24"/>
        </w:rPr>
        <w:t>RECOMMENDATION(S)</w:t>
      </w:r>
    </w:p>
    <w:p w:rsidR="00BB4A10" w:rsidRDefault="00BB4A10" w:rsidP="009074B6">
      <w:pPr>
        <w:tabs>
          <w:tab w:val="left" w:pos="720"/>
          <w:tab w:val="right" w:pos="9000"/>
        </w:tabs>
        <w:rPr>
          <w:rFonts w:cs="Arial"/>
          <w:b/>
          <w:sz w:val="24"/>
          <w:szCs w:val="24"/>
        </w:rPr>
      </w:pPr>
      <w:r>
        <w:rPr>
          <w:rFonts w:cs="Arial"/>
          <w:b/>
          <w:sz w:val="24"/>
          <w:szCs w:val="24"/>
        </w:rPr>
        <w:tab/>
      </w:r>
    </w:p>
    <w:p w:rsidR="00C67AE9" w:rsidRDefault="00440557" w:rsidP="0049543F">
      <w:pPr>
        <w:tabs>
          <w:tab w:val="left" w:pos="720"/>
          <w:tab w:val="right" w:pos="9000"/>
        </w:tabs>
        <w:rPr>
          <w:rFonts w:cs="Arial"/>
          <w:sz w:val="24"/>
          <w:szCs w:val="24"/>
        </w:rPr>
      </w:pPr>
      <w:r>
        <w:rPr>
          <w:rFonts w:cs="Arial"/>
          <w:sz w:val="24"/>
          <w:szCs w:val="24"/>
        </w:rPr>
        <w:t>(i)</w:t>
      </w:r>
      <w:r w:rsidR="00C67AE9">
        <w:rPr>
          <w:rFonts w:cs="Arial"/>
          <w:sz w:val="24"/>
          <w:szCs w:val="24"/>
        </w:rPr>
        <w:t xml:space="preserve"> </w:t>
      </w:r>
      <w:r w:rsidR="00C67AE9">
        <w:rPr>
          <w:rFonts w:cs="Arial"/>
          <w:sz w:val="24"/>
          <w:szCs w:val="24"/>
        </w:rPr>
        <w:tab/>
      </w:r>
      <w:r w:rsidR="00C67AE9" w:rsidRPr="00C67AE9">
        <w:rPr>
          <w:rFonts w:cs="Arial"/>
          <w:sz w:val="24"/>
          <w:szCs w:val="24"/>
        </w:rPr>
        <w:t xml:space="preserve">That the </w:t>
      </w:r>
      <w:r w:rsidR="00C67AE9">
        <w:rPr>
          <w:rFonts w:cs="Arial"/>
          <w:sz w:val="24"/>
          <w:szCs w:val="24"/>
        </w:rPr>
        <w:t xml:space="preserve">content of the report be noted. </w:t>
      </w:r>
    </w:p>
    <w:p w:rsidR="00C67AE9" w:rsidRPr="00C67AE9" w:rsidRDefault="00C67AE9" w:rsidP="0049543F">
      <w:pPr>
        <w:tabs>
          <w:tab w:val="left" w:pos="720"/>
          <w:tab w:val="right" w:pos="9000"/>
        </w:tabs>
        <w:rPr>
          <w:rFonts w:cs="Arial"/>
          <w:sz w:val="24"/>
          <w:szCs w:val="24"/>
        </w:rPr>
      </w:pPr>
    </w:p>
    <w:p w:rsidR="00BB4A10" w:rsidRPr="0049543F" w:rsidRDefault="00440557" w:rsidP="0049543F">
      <w:pPr>
        <w:tabs>
          <w:tab w:val="left" w:pos="720"/>
          <w:tab w:val="right" w:pos="9000"/>
        </w:tabs>
        <w:ind w:left="720" w:hanging="720"/>
        <w:rPr>
          <w:rFonts w:cs="Arial"/>
          <w:sz w:val="24"/>
          <w:szCs w:val="24"/>
        </w:rPr>
      </w:pPr>
      <w:r>
        <w:rPr>
          <w:rFonts w:cs="Arial"/>
          <w:sz w:val="24"/>
          <w:szCs w:val="24"/>
        </w:rPr>
        <w:t>(ii)</w:t>
      </w:r>
      <w:r w:rsidR="00C67AE9" w:rsidRPr="00C67AE9">
        <w:rPr>
          <w:rFonts w:cs="Arial"/>
          <w:sz w:val="24"/>
          <w:szCs w:val="24"/>
        </w:rPr>
        <w:t xml:space="preserve"> </w:t>
      </w:r>
      <w:r w:rsidR="00C67AE9">
        <w:rPr>
          <w:rFonts w:cs="Arial"/>
          <w:sz w:val="24"/>
          <w:szCs w:val="24"/>
        </w:rPr>
        <w:tab/>
      </w:r>
      <w:r w:rsidR="007A4C9E">
        <w:rPr>
          <w:rFonts w:cs="Arial"/>
          <w:sz w:val="24"/>
          <w:szCs w:val="24"/>
        </w:rPr>
        <w:t>That M</w:t>
      </w:r>
      <w:r w:rsidR="00C67AE9" w:rsidRPr="00C67AE9">
        <w:rPr>
          <w:rFonts w:cs="Arial"/>
          <w:sz w:val="24"/>
          <w:szCs w:val="24"/>
        </w:rPr>
        <w:t xml:space="preserve">embers inform the </w:t>
      </w:r>
      <w:r w:rsidR="0049543F">
        <w:rPr>
          <w:rFonts w:cs="Arial"/>
          <w:sz w:val="24"/>
          <w:szCs w:val="24"/>
        </w:rPr>
        <w:t>Licensing Manager</w:t>
      </w:r>
      <w:r w:rsidR="00C67AE9" w:rsidRPr="00C67AE9">
        <w:rPr>
          <w:rFonts w:cs="Arial"/>
          <w:sz w:val="24"/>
          <w:szCs w:val="24"/>
        </w:rPr>
        <w:t xml:space="preserve"> of any additional </w:t>
      </w:r>
      <w:r w:rsidR="003B273C">
        <w:rPr>
          <w:rFonts w:cs="Arial"/>
          <w:sz w:val="24"/>
          <w:szCs w:val="24"/>
        </w:rPr>
        <w:t>l</w:t>
      </w:r>
      <w:r w:rsidR="00C67AE9">
        <w:rPr>
          <w:rFonts w:cs="Arial"/>
          <w:sz w:val="24"/>
          <w:szCs w:val="24"/>
        </w:rPr>
        <w:t xml:space="preserve">icensing </w:t>
      </w:r>
      <w:r w:rsidR="00C67AE9" w:rsidRPr="00C67AE9">
        <w:rPr>
          <w:rFonts w:cs="Arial"/>
          <w:sz w:val="24"/>
          <w:szCs w:val="24"/>
        </w:rPr>
        <w:t>issues that they would like to have included in future update repor</w:t>
      </w:r>
      <w:r w:rsidR="009F5CD5">
        <w:rPr>
          <w:rFonts w:cs="Arial"/>
          <w:sz w:val="24"/>
          <w:szCs w:val="24"/>
        </w:rPr>
        <w:t>ts.</w:t>
      </w:r>
    </w:p>
    <w:p w:rsidR="00C67AE9" w:rsidRDefault="00C67AE9" w:rsidP="009074B6">
      <w:pPr>
        <w:tabs>
          <w:tab w:val="left" w:pos="720"/>
          <w:tab w:val="right" w:pos="9000"/>
        </w:tabs>
        <w:ind w:left="1080"/>
        <w:rPr>
          <w:rFonts w:cs="Arial"/>
          <w:b/>
          <w:sz w:val="24"/>
          <w:szCs w:val="24"/>
        </w:rPr>
      </w:pPr>
    </w:p>
    <w:p w:rsidR="00440557" w:rsidRDefault="00440557" w:rsidP="009074B6">
      <w:pPr>
        <w:tabs>
          <w:tab w:val="left" w:pos="720"/>
          <w:tab w:val="right" w:pos="9000"/>
        </w:tabs>
        <w:ind w:left="1080"/>
        <w:rPr>
          <w:rFonts w:cs="Arial"/>
          <w:b/>
          <w:sz w:val="24"/>
          <w:szCs w:val="24"/>
        </w:rPr>
      </w:pPr>
    </w:p>
    <w:p w:rsidR="00BB4A10" w:rsidRDefault="00BB4A10" w:rsidP="00323174">
      <w:pPr>
        <w:numPr>
          <w:ilvl w:val="0"/>
          <w:numId w:val="1"/>
        </w:numPr>
        <w:tabs>
          <w:tab w:val="left" w:pos="720"/>
          <w:tab w:val="right" w:pos="9000"/>
        </w:tabs>
        <w:ind w:hanging="1080"/>
        <w:rPr>
          <w:rFonts w:cs="Arial"/>
          <w:b/>
          <w:sz w:val="24"/>
          <w:szCs w:val="24"/>
        </w:rPr>
      </w:pPr>
      <w:r w:rsidRPr="00D8421D">
        <w:rPr>
          <w:rFonts w:cs="Arial"/>
          <w:b/>
          <w:sz w:val="24"/>
          <w:szCs w:val="24"/>
        </w:rPr>
        <w:t>BACKGROUND INFORMATION</w:t>
      </w:r>
    </w:p>
    <w:p w:rsidR="00D0473E" w:rsidRDefault="00D0473E" w:rsidP="00D0473E">
      <w:pPr>
        <w:tabs>
          <w:tab w:val="left" w:pos="720"/>
          <w:tab w:val="right" w:pos="9000"/>
        </w:tabs>
        <w:rPr>
          <w:rFonts w:cs="Arial"/>
          <w:b/>
          <w:sz w:val="24"/>
          <w:szCs w:val="24"/>
        </w:rPr>
      </w:pPr>
    </w:p>
    <w:p w:rsidR="00D0473E" w:rsidRDefault="00D0473E" w:rsidP="00D0473E">
      <w:pPr>
        <w:tabs>
          <w:tab w:val="left" w:pos="720"/>
          <w:tab w:val="right" w:pos="9000"/>
        </w:tabs>
        <w:ind w:left="720" w:hanging="720"/>
        <w:rPr>
          <w:rFonts w:cs="Arial"/>
          <w:sz w:val="24"/>
          <w:szCs w:val="24"/>
        </w:rPr>
      </w:pPr>
      <w:r w:rsidRPr="00415541">
        <w:rPr>
          <w:rFonts w:cs="Arial"/>
          <w:sz w:val="24"/>
          <w:szCs w:val="24"/>
        </w:rPr>
        <w:t>3.1</w:t>
      </w:r>
      <w:r w:rsidR="00415541">
        <w:rPr>
          <w:rFonts w:cs="Arial"/>
          <w:sz w:val="24"/>
          <w:szCs w:val="24"/>
        </w:rPr>
        <w:tab/>
      </w:r>
      <w:r w:rsidR="003B273C">
        <w:rPr>
          <w:rFonts w:cs="Arial"/>
          <w:sz w:val="24"/>
          <w:szCs w:val="24"/>
        </w:rPr>
        <w:t>The Licensing Team</w:t>
      </w:r>
      <w:r>
        <w:rPr>
          <w:rFonts w:cs="Arial"/>
          <w:sz w:val="24"/>
          <w:szCs w:val="24"/>
        </w:rPr>
        <w:t xml:space="preserve"> has responsibility for</w:t>
      </w:r>
      <w:r w:rsidR="003B273C">
        <w:rPr>
          <w:rFonts w:cs="Arial"/>
          <w:sz w:val="24"/>
          <w:szCs w:val="24"/>
        </w:rPr>
        <w:t xml:space="preserve"> the Licensing Act 2003,</w:t>
      </w:r>
      <w:r>
        <w:rPr>
          <w:rFonts w:cs="Arial"/>
          <w:sz w:val="24"/>
          <w:szCs w:val="24"/>
        </w:rPr>
        <w:t xml:space="preserve"> Gambling Act 2005, Taxi and Private Hire Vehicles,</w:t>
      </w:r>
      <w:r w:rsidR="00A74761">
        <w:rPr>
          <w:rFonts w:cs="Arial"/>
          <w:sz w:val="24"/>
          <w:szCs w:val="24"/>
        </w:rPr>
        <w:t xml:space="preserve"> </w:t>
      </w:r>
      <w:r>
        <w:rPr>
          <w:rFonts w:cs="Arial"/>
          <w:sz w:val="24"/>
          <w:szCs w:val="24"/>
        </w:rPr>
        <w:t xml:space="preserve">Scrap Metal, Massage </w:t>
      </w:r>
      <w:r>
        <w:rPr>
          <w:rFonts w:cs="Arial"/>
          <w:sz w:val="24"/>
          <w:szCs w:val="24"/>
        </w:rPr>
        <w:lastRenderedPageBreak/>
        <w:t>and Special Treatment, Tattooing</w:t>
      </w:r>
      <w:r w:rsidR="00D90CAE">
        <w:rPr>
          <w:rFonts w:cs="Arial"/>
          <w:sz w:val="24"/>
          <w:szCs w:val="24"/>
        </w:rPr>
        <w:t>, Street Collections and House to House</w:t>
      </w:r>
      <w:r>
        <w:rPr>
          <w:rFonts w:cs="Arial"/>
          <w:sz w:val="24"/>
          <w:szCs w:val="24"/>
        </w:rPr>
        <w:t xml:space="preserve"> and Animal Welfare Act 2018.</w:t>
      </w:r>
    </w:p>
    <w:p w:rsidR="00415541" w:rsidRDefault="00415541" w:rsidP="00D0473E">
      <w:pPr>
        <w:tabs>
          <w:tab w:val="left" w:pos="720"/>
          <w:tab w:val="right" w:pos="9000"/>
        </w:tabs>
        <w:ind w:left="720" w:hanging="720"/>
        <w:rPr>
          <w:rFonts w:cs="Arial"/>
          <w:sz w:val="24"/>
          <w:szCs w:val="24"/>
        </w:rPr>
      </w:pPr>
    </w:p>
    <w:p w:rsidR="00D0473E" w:rsidRPr="00D0473E" w:rsidRDefault="00415541" w:rsidP="00D0473E">
      <w:pPr>
        <w:tabs>
          <w:tab w:val="left" w:pos="720"/>
          <w:tab w:val="right" w:pos="9000"/>
        </w:tabs>
        <w:ind w:left="720" w:hanging="720"/>
        <w:rPr>
          <w:rFonts w:cs="Arial"/>
          <w:sz w:val="24"/>
          <w:szCs w:val="24"/>
        </w:rPr>
      </w:pPr>
      <w:r>
        <w:rPr>
          <w:rFonts w:cs="Arial"/>
          <w:sz w:val="24"/>
          <w:szCs w:val="24"/>
        </w:rPr>
        <w:t>3.2</w:t>
      </w:r>
      <w:r>
        <w:rPr>
          <w:rFonts w:cs="Arial"/>
          <w:sz w:val="24"/>
          <w:szCs w:val="24"/>
        </w:rPr>
        <w:tab/>
      </w:r>
      <w:r w:rsidR="003B273C">
        <w:rPr>
          <w:rFonts w:cs="Arial"/>
          <w:sz w:val="24"/>
          <w:szCs w:val="24"/>
        </w:rPr>
        <w:t>At each Licensing C</w:t>
      </w:r>
      <w:r w:rsidR="00D0473E">
        <w:rPr>
          <w:rFonts w:cs="Arial"/>
          <w:sz w:val="24"/>
          <w:szCs w:val="24"/>
        </w:rPr>
        <w:t>ommittee</w:t>
      </w:r>
      <w:r>
        <w:rPr>
          <w:rFonts w:cs="Arial"/>
          <w:sz w:val="24"/>
          <w:szCs w:val="24"/>
        </w:rPr>
        <w:t>, a report is written to provide</w:t>
      </w:r>
      <w:r w:rsidR="00D0473E">
        <w:rPr>
          <w:rFonts w:cs="Arial"/>
          <w:sz w:val="24"/>
          <w:szCs w:val="24"/>
        </w:rPr>
        <w:t xml:space="preserve"> an overview</w:t>
      </w:r>
      <w:r>
        <w:rPr>
          <w:rFonts w:cs="Arial"/>
          <w:sz w:val="24"/>
          <w:szCs w:val="24"/>
        </w:rPr>
        <w:t xml:space="preserve"> of activity</w:t>
      </w:r>
      <w:r w:rsidR="003B273C">
        <w:rPr>
          <w:rFonts w:cs="Arial"/>
          <w:sz w:val="24"/>
          <w:szCs w:val="24"/>
        </w:rPr>
        <w:t xml:space="preserve"> and a</w:t>
      </w:r>
      <w:r w:rsidR="00A74761">
        <w:rPr>
          <w:rFonts w:cs="Arial"/>
          <w:sz w:val="24"/>
          <w:szCs w:val="24"/>
        </w:rPr>
        <w:t>ny sign</w:t>
      </w:r>
      <w:r w:rsidR="003B273C">
        <w:rPr>
          <w:rFonts w:cs="Arial"/>
          <w:sz w:val="24"/>
          <w:szCs w:val="24"/>
        </w:rPr>
        <w:t>ificant changes in legislation, consultations and fees. Local issues such as feedback from the</w:t>
      </w:r>
      <w:r w:rsidR="00A74761">
        <w:rPr>
          <w:rFonts w:cs="Arial"/>
          <w:sz w:val="24"/>
          <w:szCs w:val="24"/>
        </w:rPr>
        <w:t xml:space="preserve"> Taxi</w:t>
      </w:r>
      <w:r w:rsidR="003B273C">
        <w:rPr>
          <w:rFonts w:cs="Arial"/>
          <w:sz w:val="24"/>
          <w:szCs w:val="24"/>
        </w:rPr>
        <w:t xml:space="preserve"> Forum will also be reported to the L</w:t>
      </w:r>
      <w:r w:rsidR="00A74761">
        <w:rPr>
          <w:rFonts w:cs="Arial"/>
          <w:sz w:val="24"/>
          <w:szCs w:val="24"/>
        </w:rPr>
        <w:t>icensing Committee.</w:t>
      </w:r>
    </w:p>
    <w:p w:rsidR="005265B2" w:rsidRDefault="005265B2" w:rsidP="005265B2">
      <w:pPr>
        <w:pStyle w:val="ListParagraph"/>
        <w:tabs>
          <w:tab w:val="left" w:pos="720"/>
        </w:tabs>
        <w:rPr>
          <w:b/>
          <w:sz w:val="24"/>
          <w:szCs w:val="24"/>
        </w:rPr>
      </w:pPr>
    </w:p>
    <w:p w:rsidR="000C6BA3" w:rsidRPr="000C6BA3" w:rsidRDefault="000C6BA3" w:rsidP="000C6BA3">
      <w:pPr>
        <w:tabs>
          <w:tab w:val="left" w:pos="720"/>
        </w:tabs>
        <w:rPr>
          <w:sz w:val="24"/>
          <w:szCs w:val="24"/>
        </w:rPr>
      </w:pPr>
    </w:p>
    <w:p w:rsidR="00906615" w:rsidRDefault="00ED6B30" w:rsidP="00F90201">
      <w:pPr>
        <w:pStyle w:val="NormalWeb"/>
        <w:shd w:val="clear" w:color="auto" w:fill="FFFFFF"/>
        <w:spacing w:before="0" w:after="0" w:line="240" w:lineRule="auto"/>
        <w:ind w:firstLine="720"/>
        <w:rPr>
          <w:rFonts w:ascii="Arial" w:hAnsi="Arial" w:cs="Arial"/>
          <w:b/>
        </w:rPr>
      </w:pPr>
      <w:r>
        <w:rPr>
          <w:rFonts w:ascii="Arial" w:hAnsi="Arial" w:cs="Arial"/>
          <w:b/>
        </w:rPr>
        <w:t xml:space="preserve">Licensing Act 2003 </w:t>
      </w:r>
    </w:p>
    <w:p w:rsidR="00842B5E" w:rsidRPr="00F90201" w:rsidRDefault="00842B5E" w:rsidP="00F90201">
      <w:pPr>
        <w:pStyle w:val="NormalWeb"/>
        <w:shd w:val="clear" w:color="auto" w:fill="FFFFFF"/>
        <w:spacing w:before="0" w:after="0" w:line="240" w:lineRule="auto"/>
        <w:ind w:firstLine="720"/>
        <w:rPr>
          <w:rFonts w:ascii="Arial" w:hAnsi="Arial" w:cs="Arial"/>
          <w:b/>
        </w:rPr>
      </w:pPr>
    </w:p>
    <w:p w:rsidR="006B3FC2"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3.3</w:t>
      </w:r>
      <w:r w:rsidR="00713E6B">
        <w:rPr>
          <w:rFonts w:ascii="Arial" w:hAnsi="Arial" w:cs="Arial"/>
        </w:rPr>
        <w:tab/>
      </w:r>
      <w:r w:rsidR="00A46611">
        <w:rPr>
          <w:rFonts w:ascii="Arial" w:hAnsi="Arial" w:cs="Arial"/>
        </w:rPr>
        <w:t>The L</w:t>
      </w:r>
      <w:r w:rsidR="006B3FC2">
        <w:rPr>
          <w:rFonts w:ascii="Arial" w:hAnsi="Arial" w:cs="Arial"/>
        </w:rPr>
        <w:t>icensing Team have continued to visit premise</w:t>
      </w:r>
      <w:r w:rsidR="002737B3">
        <w:rPr>
          <w:rFonts w:ascii="Arial" w:hAnsi="Arial" w:cs="Arial"/>
        </w:rPr>
        <w:t>s</w:t>
      </w:r>
      <w:r w:rsidR="006B3FC2">
        <w:rPr>
          <w:rFonts w:ascii="Arial" w:hAnsi="Arial" w:cs="Arial"/>
        </w:rPr>
        <w:t xml:space="preserve"> to ensure compliance.</w:t>
      </w:r>
      <w:r w:rsidR="00A46611">
        <w:rPr>
          <w:rFonts w:ascii="Arial" w:hAnsi="Arial" w:cs="Arial"/>
        </w:rPr>
        <w:t xml:space="preserve"> </w:t>
      </w:r>
      <w:r w:rsidR="006B3FC2">
        <w:rPr>
          <w:rFonts w:ascii="Arial" w:hAnsi="Arial" w:cs="Arial"/>
        </w:rPr>
        <w:t xml:space="preserve">The team have been working with the Police and have taken part in Amberstag the town centre partnership </w:t>
      </w:r>
      <w:r w:rsidR="00A46611">
        <w:rPr>
          <w:rFonts w:ascii="Arial" w:hAnsi="Arial" w:cs="Arial"/>
        </w:rPr>
        <w:t>operation also referred to as ‘Days of Action’.</w:t>
      </w:r>
    </w:p>
    <w:p w:rsidR="003B273C" w:rsidRDefault="003B273C" w:rsidP="00A46611">
      <w:pPr>
        <w:pStyle w:val="NormalWeb"/>
        <w:shd w:val="clear" w:color="auto" w:fill="FFFFFF"/>
        <w:spacing w:before="0" w:after="0" w:line="240" w:lineRule="auto"/>
        <w:jc w:val="both"/>
        <w:rPr>
          <w:rFonts w:ascii="Arial" w:hAnsi="Arial" w:cs="Arial"/>
        </w:rPr>
      </w:pPr>
    </w:p>
    <w:p w:rsidR="00A92E55"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3.4</w:t>
      </w:r>
      <w:r w:rsidR="0032751D">
        <w:rPr>
          <w:rFonts w:ascii="Arial" w:hAnsi="Arial" w:cs="Arial"/>
        </w:rPr>
        <w:tab/>
      </w:r>
      <w:r w:rsidR="00F90201">
        <w:rPr>
          <w:rFonts w:ascii="Arial" w:hAnsi="Arial" w:cs="Arial"/>
        </w:rPr>
        <w:t>The Licensing T</w:t>
      </w:r>
      <w:r w:rsidR="00CD47FB">
        <w:rPr>
          <w:rFonts w:ascii="Arial" w:hAnsi="Arial" w:cs="Arial"/>
        </w:rPr>
        <w:t xml:space="preserve">eam have </w:t>
      </w:r>
      <w:r w:rsidR="00842B5E">
        <w:rPr>
          <w:rFonts w:ascii="Arial" w:hAnsi="Arial" w:cs="Arial"/>
        </w:rPr>
        <w:t xml:space="preserve">received </w:t>
      </w:r>
      <w:r w:rsidR="006B3FC2">
        <w:rPr>
          <w:rFonts w:ascii="Arial" w:hAnsi="Arial" w:cs="Arial"/>
        </w:rPr>
        <w:t xml:space="preserve"> </w:t>
      </w:r>
      <w:r w:rsidR="00645FFA">
        <w:rPr>
          <w:rFonts w:ascii="Arial" w:hAnsi="Arial" w:cs="Arial"/>
        </w:rPr>
        <w:t>four</w:t>
      </w:r>
      <w:r w:rsidR="003C356A">
        <w:rPr>
          <w:rFonts w:ascii="Arial" w:hAnsi="Arial" w:cs="Arial"/>
        </w:rPr>
        <w:t xml:space="preserve"> </w:t>
      </w:r>
      <w:r w:rsidR="00323174">
        <w:rPr>
          <w:rFonts w:ascii="Arial" w:hAnsi="Arial" w:cs="Arial"/>
        </w:rPr>
        <w:t>applications</w:t>
      </w:r>
      <w:r w:rsidR="006B3FC2">
        <w:rPr>
          <w:rFonts w:ascii="Arial" w:hAnsi="Arial" w:cs="Arial"/>
        </w:rPr>
        <w:t xml:space="preserve"> for a </w:t>
      </w:r>
      <w:r w:rsidR="00323174">
        <w:rPr>
          <w:rFonts w:ascii="Arial" w:hAnsi="Arial" w:cs="Arial"/>
        </w:rPr>
        <w:t>new premise</w:t>
      </w:r>
      <w:r w:rsidR="00A46611">
        <w:rPr>
          <w:rFonts w:ascii="Arial" w:hAnsi="Arial" w:cs="Arial"/>
        </w:rPr>
        <w:t xml:space="preserve"> licence</w:t>
      </w:r>
      <w:r w:rsidR="009813D7">
        <w:rPr>
          <w:rFonts w:ascii="Arial" w:hAnsi="Arial" w:cs="Arial"/>
        </w:rPr>
        <w:t>s</w:t>
      </w:r>
      <w:r w:rsidR="00A46611">
        <w:rPr>
          <w:rFonts w:ascii="Arial" w:hAnsi="Arial" w:cs="Arial"/>
        </w:rPr>
        <w:t xml:space="preserve">; </w:t>
      </w:r>
      <w:r w:rsidR="00645FFA">
        <w:rPr>
          <w:rFonts w:ascii="Arial" w:hAnsi="Arial" w:cs="Arial"/>
        </w:rPr>
        <w:t>One</w:t>
      </w:r>
      <w:r w:rsidR="006B3FC2">
        <w:rPr>
          <w:rFonts w:ascii="Arial" w:hAnsi="Arial" w:cs="Arial"/>
        </w:rPr>
        <w:t xml:space="preserve"> full variation</w:t>
      </w:r>
      <w:r w:rsidR="00A46611">
        <w:rPr>
          <w:rFonts w:ascii="Arial" w:hAnsi="Arial" w:cs="Arial"/>
        </w:rPr>
        <w:t>;</w:t>
      </w:r>
      <w:r w:rsidR="006B3FC2">
        <w:rPr>
          <w:rFonts w:ascii="Arial" w:hAnsi="Arial" w:cs="Arial"/>
        </w:rPr>
        <w:t xml:space="preserve"> and </w:t>
      </w:r>
      <w:r w:rsidR="003C356A">
        <w:rPr>
          <w:rFonts w:ascii="Arial" w:hAnsi="Arial" w:cs="Arial"/>
        </w:rPr>
        <w:t xml:space="preserve">36 </w:t>
      </w:r>
      <w:r w:rsidR="006B3FC2">
        <w:rPr>
          <w:rFonts w:ascii="Arial" w:hAnsi="Arial" w:cs="Arial"/>
        </w:rPr>
        <w:t>temporary event notices</w:t>
      </w:r>
      <w:r w:rsidR="009813D7">
        <w:rPr>
          <w:rFonts w:ascii="Arial" w:hAnsi="Arial" w:cs="Arial"/>
        </w:rPr>
        <w:t>,</w:t>
      </w:r>
      <w:r w:rsidR="003C356A">
        <w:rPr>
          <w:rFonts w:ascii="Arial" w:hAnsi="Arial" w:cs="Arial"/>
        </w:rPr>
        <w:t xml:space="preserve"> </w:t>
      </w:r>
      <w:r w:rsidR="00645FFA">
        <w:rPr>
          <w:rFonts w:ascii="Arial" w:hAnsi="Arial" w:cs="Arial"/>
        </w:rPr>
        <w:t>one</w:t>
      </w:r>
      <w:r w:rsidR="003C356A">
        <w:rPr>
          <w:rFonts w:ascii="Arial" w:hAnsi="Arial" w:cs="Arial"/>
        </w:rPr>
        <w:t xml:space="preserve"> Licence surrendered and 14 variations of designated premises </w:t>
      </w:r>
      <w:r w:rsidR="00E61B55">
        <w:rPr>
          <w:rFonts w:ascii="Arial" w:hAnsi="Arial" w:cs="Arial"/>
        </w:rPr>
        <w:t>supervisors</w:t>
      </w:r>
      <w:r w:rsidR="009813D7">
        <w:rPr>
          <w:rFonts w:ascii="Arial" w:hAnsi="Arial" w:cs="Arial"/>
        </w:rPr>
        <w:t xml:space="preserve"> </w:t>
      </w:r>
      <w:r w:rsidR="006B3FC2">
        <w:rPr>
          <w:rFonts w:ascii="Arial" w:hAnsi="Arial" w:cs="Arial"/>
        </w:rPr>
        <w:t xml:space="preserve"> since the last meeting.</w:t>
      </w:r>
      <w:r w:rsidR="003C356A">
        <w:rPr>
          <w:rFonts w:ascii="Arial" w:hAnsi="Arial" w:cs="Arial"/>
        </w:rPr>
        <w:t xml:space="preserve"> </w:t>
      </w:r>
    </w:p>
    <w:p w:rsidR="00A92E55" w:rsidRDefault="00A92E55" w:rsidP="00A46611">
      <w:pPr>
        <w:pStyle w:val="NormalWeb"/>
        <w:shd w:val="clear" w:color="auto" w:fill="FFFFFF"/>
        <w:spacing w:before="0" w:after="0" w:line="240" w:lineRule="auto"/>
        <w:jc w:val="both"/>
        <w:rPr>
          <w:rFonts w:ascii="Arial" w:hAnsi="Arial" w:cs="Arial"/>
        </w:rPr>
      </w:pPr>
    </w:p>
    <w:p w:rsidR="00A92E55" w:rsidRDefault="00483434" w:rsidP="00645FFA">
      <w:pPr>
        <w:pStyle w:val="NormalWeb"/>
        <w:shd w:val="clear" w:color="auto" w:fill="FFFFFF"/>
        <w:spacing w:before="0" w:after="0" w:line="240" w:lineRule="auto"/>
        <w:ind w:left="720" w:hanging="720"/>
        <w:jc w:val="both"/>
        <w:rPr>
          <w:rFonts w:ascii="Arial" w:hAnsi="Arial" w:cs="Arial"/>
        </w:rPr>
      </w:pPr>
      <w:r>
        <w:rPr>
          <w:rFonts w:ascii="Arial" w:hAnsi="Arial" w:cs="Arial"/>
        </w:rPr>
        <w:t>3.5</w:t>
      </w:r>
      <w:r w:rsidR="0032751D">
        <w:rPr>
          <w:rFonts w:ascii="Arial" w:hAnsi="Arial" w:cs="Arial"/>
        </w:rPr>
        <w:tab/>
      </w:r>
      <w:r w:rsidR="00A46611">
        <w:rPr>
          <w:rFonts w:ascii="Arial" w:hAnsi="Arial" w:cs="Arial"/>
        </w:rPr>
        <w:t>The Licensing T</w:t>
      </w:r>
      <w:r w:rsidR="006B3FC2">
        <w:rPr>
          <w:rFonts w:ascii="Arial" w:hAnsi="Arial" w:cs="Arial"/>
        </w:rPr>
        <w:t>eam have investigat</w:t>
      </w:r>
      <w:r w:rsidR="00A46611">
        <w:rPr>
          <w:rFonts w:ascii="Arial" w:hAnsi="Arial" w:cs="Arial"/>
        </w:rPr>
        <w:t xml:space="preserve">ed </w:t>
      </w:r>
      <w:r w:rsidR="009813D7">
        <w:rPr>
          <w:rFonts w:ascii="Arial" w:hAnsi="Arial" w:cs="Arial"/>
        </w:rPr>
        <w:t>eight</w:t>
      </w:r>
      <w:r w:rsidR="003C356A">
        <w:rPr>
          <w:rFonts w:ascii="Arial" w:hAnsi="Arial" w:cs="Arial"/>
        </w:rPr>
        <w:t xml:space="preserve"> </w:t>
      </w:r>
      <w:r w:rsidR="00A46611">
        <w:rPr>
          <w:rFonts w:ascii="Arial" w:hAnsi="Arial" w:cs="Arial"/>
        </w:rPr>
        <w:t xml:space="preserve">allegations </w:t>
      </w:r>
      <w:r w:rsidR="002737B3">
        <w:rPr>
          <w:rFonts w:ascii="Arial" w:hAnsi="Arial" w:cs="Arial"/>
        </w:rPr>
        <w:t xml:space="preserve">of </w:t>
      </w:r>
      <w:r w:rsidR="00A46611">
        <w:rPr>
          <w:rFonts w:ascii="Arial" w:hAnsi="Arial" w:cs="Arial"/>
        </w:rPr>
        <w:t>breaches of the Licensing A</w:t>
      </w:r>
      <w:r w:rsidR="006B3FC2">
        <w:rPr>
          <w:rFonts w:ascii="Arial" w:hAnsi="Arial" w:cs="Arial"/>
        </w:rPr>
        <w:t xml:space="preserve">ct. </w:t>
      </w:r>
      <w:r w:rsidR="009813D7">
        <w:rPr>
          <w:rFonts w:ascii="Arial" w:hAnsi="Arial" w:cs="Arial"/>
        </w:rPr>
        <w:t>Three</w:t>
      </w:r>
      <w:r w:rsidR="003C356A">
        <w:rPr>
          <w:rFonts w:ascii="Arial" w:hAnsi="Arial" w:cs="Arial"/>
        </w:rPr>
        <w:t xml:space="preserve"> complaints about premises operating after permitted hours. These are currently being investigated and </w:t>
      </w:r>
      <w:r w:rsidR="00E61B55">
        <w:rPr>
          <w:rFonts w:ascii="Arial" w:hAnsi="Arial" w:cs="Arial"/>
        </w:rPr>
        <w:t>CCTV</w:t>
      </w:r>
      <w:r w:rsidR="003C356A">
        <w:rPr>
          <w:rFonts w:ascii="Arial" w:hAnsi="Arial" w:cs="Arial"/>
        </w:rPr>
        <w:t xml:space="preserve"> has been requested.</w:t>
      </w:r>
    </w:p>
    <w:p w:rsidR="003C356A" w:rsidRDefault="009813D7" w:rsidP="00645FFA">
      <w:pPr>
        <w:pStyle w:val="NormalWeb"/>
        <w:shd w:val="clear" w:color="auto" w:fill="FFFFFF"/>
        <w:spacing w:before="0" w:after="0" w:line="240" w:lineRule="auto"/>
        <w:ind w:left="720" w:hanging="720"/>
        <w:jc w:val="both"/>
        <w:rPr>
          <w:rFonts w:ascii="Arial" w:hAnsi="Arial" w:cs="Arial"/>
        </w:rPr>
      </w:pPr>
      <w:r>
        <w:rPr>
          <w:rFonts w:ascii="Arial" w:hAnsi="Arial" w:cs="Arial"/>
        </w:rPr>
        <w:tab/>
        <w:t>One</w:t>
      </w:r>
      <w:r w:rsidR="003C356A">
        <w:rPr>
          <w:rFonts w:ascii="Arial" w:hAnsi="Arial" w:cs="Arial"/>
        </w:rPr>
        <w:t xml:space="preserve"> breach of a premise selling alcohol outside permitted days.  The Premise licence holder has been interviewed under caution and a warning issued. We have received a variation for the premise licence.</w:t>
      </w:r>
    </w:p>
    <w:p w:rsidR="002E3BE5" w:rsidRDefault="009813D7" w:rsidP="00645FFA">
      <w:pPr>
        <w:pStyle w:val="NormalWeb"/>
        <w:shd w:val="clear" w:color="auto" w:fill="FFFFFF"/>
        <w:spacing w:before="0" w:after="0" w:line="240" w:lineRule="auto"/>
        <w:ind w:left="720" w:hanging="720"/>
        <w:jc w:val="both"/>
        <w:rPr>
          <w:rFonts w:ascii="Arial" w:hAnsi="Arial" w:cs="Arial"/>
        </w:rPr>
      </w:pPr>
      <w:r>
        <w:rPr>
          <w:rFonts w:ascii="Arial" w:hAnsi="Arial" w:cs="Arial"/>
        </w:rPr>
        <w:tab/>
        <w:t>One</w:t>
      </w:r>
      <w:r w:rsidR="002E3BE5">
        <w:rPr>
          <w:rFonts w:ascii="Arial" w:hAnsi="Arial" w:cs="Arial"/>
        </w:rPr>
        <w:t xml:space="preserve"> allegation of underage sales no further action</w:t>
      </w:r>
      <w:r>
        <w:rPr>
          <w:rFonts w:ascii="Arial" w:hAnsi="Arial" w:cs="Arial"/>
        </w:rPr>
        <w:t>.</w:t>
      </w:r>
    </w:p>
    <w:p w:rsidR="002E3BE5" w:rsidRDefault="002E3BE5" w:rsidP="00645FFA">
      <w:pPr>
        <w:pStyle w:val="NormalWeb"/>
        <w:shd w:val="clear" w:color="auto" w:fill="FFFFFF"/>
        <w:spacing w:before="0" w:after="0" w:line="240" w:lineRule="auto"/>
        <w:ind w:left="720" w:hanging="720"/>
        <w:jc w:val="both"/>
        <w:rPr>
          <w:rFonts w:ascii="Arial" w:hAnsi="Arial" w:cs="Arial"/>
        </w:rPr>
      </w:pPr>
      <w:r>
        <w:rPr>
          <w:rFonts w:ascii="Arial" w:hAnsi="Arial" w:cs="Arial"/>
        </w:rPr>
        <w:tab/>
      </w:r>
      <w:r w:rsidR="009813D7">
        <w:rPr>
          <w:rFonts w:ascii="Arial" w:hAnsi="Arial" w:cs="Arial"/>
        </w:rPr>
        <w:t>Three</w:t>
      </w:r>
      <w:r>
        <w:rPr>
          <w:rFonts w:ascii="Arial" w:hAnsi="Arial" w:cs="Arial"/>
        </w:rPr>
        <w:t xml:space="preserve"> allegations of breach of conditions </w:t>
      </w:r>
      <w:r w:rsidR="00217A8C">
        <w:rPr>
          <w:rFonts w:ascii="Arial" w:hAnsi="Arial" w:cs="Arial"/>
        </w:rPr>
        <w:t>advice and follow up visits</w:t>
      </w:r>
      <w:r w:rsidR="009813D7">
        <w:rPr>
          <w:rFonts w:ascii="Arial" w:hAnsi="Arial" w:cs="Arial"/>
        </w:rPr>
        <w:t>.</w:t>
      </w:r>
    </w:p>
    <w:p w:rsidR="00217A8C" w:rsidRDefault="00217A8C" w:rsidP="00645FFA">
      <w:pPr>
        <w:pStyle w:val="NormalWeb"/>
        <w:shd w:val="clear" w:color="auto" w:fill="FFFFFF"/>
        <w:spacing w:before="0" w:after="0" w:line="240" w:lineRule="auto"/>
        <w:ind w:left="720" w:hanging="720"/>
        <w:jc w:val="both"/>
        <w:rPr>
          <w:rFonts w:ascii="Arial" w:hAnsi="Arial" w:cs="Arial"/>
        </w:rPr>
      </w:pPr>
    </w:p>
    <w:p w:rsidR="009F5D63"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3.6</w:t>
      </w:r>
      <w:r w:rsidR="0032751D">
        <w:rPr>
          <w:rFonts w:ascii="Arial" w:hAnsi="Arial" w:cs="Arial"/>
        </w:rPr>
        <w:tab/>
      </w:r>
      <w:r w:rsidR="00217A8C">
        <w:rPr>
          <w:rFonts w:ascii="Arial" w:hAnsi="Arial" w:cs="Arial"/>
        </w:rPr>
        <w:t xml:space="preserve"> The licensing team are working with the Police and licensing trade to set up and support a new</w:t>
      </w:r>
      <w:r w:rsidR="009813D7">
        <w:rPr>
          <w:rFonts w:ascii="Arial" w:hAnsi="Arial" w:cs="Arial"/>
        </w:rPr>
        <w:t xml:space="preserve"> </w:t>
      </w:r>
      <w:r w:rsidR="00E61B55">
        <w:rPr>
          <w:rFonts w:ascii="Arial" w:hAnsi="Arial" w:cs="Arial"/>
        </w:rPr>
        <w:t>Pub watch</w:t>
      </w:r>
      <w:r w:rsidR="009813D7">
        <w:rPr>
          <w:rFonts w:ascii="Arial" w:hAnsi="Arial" w:cs="Arial"/>
        </w:rPr>
        <w:t xml:space="preserve"> in the for Mansfield W</w:t>
      </w:r>
      <w:r w:rsidR="00217A8C">
        <w:rPr>
          <w:rFonts w:ascii="Arial" w:hAnsi="Arial" w:cs="Arial"/>
        </w:rPr>
        <w:t>oodhouse and Warsop areas.</w:t>
      </w:r>
    </w:p>
    <w:p w:rsidR="009813D7" w:rsidRDefault="009813D7" w:rsidP="00A46611">
      <w:pPr>
        <w:pStyle w:val="NormalWeb"/>
        <w:shd w:val="clear" w:color="auto" w:fill="FFFFFF"/>
        <w:spacing w:before="0" w:after="0" w:line="240" w:lineRule="auto"/>
        <w:ind w:left="720" w:hanging="720"/>
        <w:jc w:val="both"/>
        <w:rPr>
          <w:rFonts w:ascii="Arial" w:hAnsi="Arial" w:cs="Arial"/>
        </w:rPr>
      </w:pPr>
    </w:p>
    <w:p w:rsidR="00A45A98"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3.7</w:t>
      </w:r>
      <w:r w:rsidR="00A45A98">
        <w:rPr>
          <w:rFonts w:ascii="Arial" w:hAnsi="Arial" w:cs="Arial"/>
        </w:rPr>
        <w:tab/>
      </w:r>
      <w:r w:rsidR="00F90201">
        <w:rPr>
          <w:rFonts w:ascii="Arial" w:hAnsi="Arial" w:cs="Arial"/>
        </w:rPr>
        <w:t>The Licensing O</w:t>
      </w:r>
      <w:r w:rsidR="004D5261">
        <w:rPr>
          <w:rFonts w:ascii="Arial" w:hAnsi="Arial" w:cs="Arial"/>
        </w:rPr>
        <w:t xml:space="preserve">fficers continue to visit premises. They visit all </w:t>
      </w:r>
      <w:r w:rsidR="00001552">
        <w:rPr>
          <w:rFonts w:ascii="Arial" w:hAnsi="Arial" w:cs="Arial"/>
        </w:rPr>
        <w:t>premises that have a new</w:t>
      </w:r>
      <w:r w:rsidR="00001552" w:rsidRPr="00001552">
        <w:rPr>
          <w:rFonts w:ascii="Arial" w:hAnsi="Arial" w:cs="Arial"/>
        </w:rPr>
        <w:t xml:space="preserve"> </w:t>
      </w:r>
      <w:r w:rsidR="00001552">
        <w:rPr>
          <w:rFonts w:ascii="Arial" w:hAnsi="Arial" w:cs="Arial"/>
        </w:rPr>
        <w:t xml:space="preserve">Designated Premises </w:t>
      </w:r>
      <w:r w:rsidR="005E2E75">
        <w:rPr>
          <w:rFonts w:ascii="Arial" w:hAnsi="Arial" w:cs="Arial"/>
        </w:rPr>
        <w:t>Supervisors to</w:t>
      </w:r>
      <w:r w:rsidR="004D5261">
        <w:rPr>
          <w:rFonts w:ascii="Arial" w:hAnsi="Arial" w:cs="Arial"/>
        </w:rPr>
        <w:t xml:space="preserve"> offer advice and ensure compliance.</w:t>
      </w:r>
      <w:r w:rsidR="00217A8C">
        <w:rPr>
          <w:rFonts w:ascii="Arial" w:hAnsi="Arial" w:cs="Arial"/>
        </w:rPr>
        <w:t xml:space="preserve"> All premises within the Mansfiel</w:t>
      </w:r>
      <w:r w:rsidR="009813D7">
        <w:rPr>
          <w:rFonts w:ascii="Arial" w:hAnsi="Arial" w:cs="Arial"/>
        </w:rPr>
        <w:t>d Town centre have been visited in the last year.</w:t>
      </w:r>
    </w:p>
    <w:p w:rsidR="001A3797" w:rsidRDefault="001A3797" w:rsidP="00A46611">
      <w:pPr>
        <w:pStyle w:val="NormalWeb"/>
        <w:shd w:val="clear" w:color="auto" w:fill="FFFFFF"/>
        <w:spacing w:before="0" w:after="0" w:line="240" w:lineRule="auto"/>
        <w:ind w:left="720" w:hanging="720"/>
        <w:jc w:val="both"/>
        <w:rPr>
          <w:rFonts w:ascii="Arial" w:hAnsi="Arial" w:cs="Arial"/>
        </w:rPr>
      </w:pPr>
    </w:p>
    <w:p w:rsidR="001A3797" w:rsidRDefault="001A3797" w:rsidP="009813D7">
      <w:pPr>
        <w:ind w:left="720" w:hanging="720"/>
        <w:rPr>
          <w:rFonts w:cs="Arial"/>
          <w:sz w:val="24"/>
          <w:szCs w:val="24"/>
        </w:rPr>
      </w:pPr>
      <w:r w:rsidRPr="001A3797">
        <w:rPr>
          <w:rFonts w:cs="Arial"/>
        </w:rPr>
        <w:t>3.8</w:t>
      </w:r>
      <w:r w:rsidRPr="001A3797">
        <w:rPr>
          <w:rFonts w:cs="Arial"/>
        </w:rPr>
        <w:tab/>
      </w:r>
      <w:r w:rsidR="009813D7">
        <w:rPr>
          <w:rFonts w:cs="Arial"/>
          <w:sz w:val="24"/>
          <w:szCs w:val="24"/>
        </w:rPr>
        <w:t xml:space="preserve">It has been identified that a personal licence holder has been convicted of a </w:t>
      </w:r>
      <w:r w:rsidR="00E61B55">
        <w:rPr>
          <w:rFonts w:cs="Arial"/>
          <w:sz w:val="24"/>
          <w:szCs w:val="24"/>
        </w:rPr>
        <w:t>relevant</w:t>
      </w:r>
      <w:r w:rsidR="009813D7">
        <w:rPr>
          <w:rFonts w:cs="Arial"/>
          <w:sz w:val="24"/>
          <w:szCs w:val="24"/>
        </w:rPr>
        <w:t xml:space="preserve"> offence a licensing officer is currently investigating.</w:t>
      </w:r>
    </w:p>
    <w:p w:rsidR="001A3797" w:rsidRDefault="001A3797" w:rsidP="001A3797">
      <w:pPr>
        <w:rPr>
          <w:rFonts w:cs="Arial"/>
          <w:sz w:val="24"/>
          <w:szCs w:val="24"/>
        </w:rPr>
      </w:pPr>
    </w:p>
    <w:p w:rsidR="00780FD4" w:rsidRPr="00FC03EE" w:rsidRDefault="00780FD4" w:rsidP="00A46611">
      <w:pPr>
        <w:pStyle w:val="NormalWeb"/>
        <w:shd w:val="clear" w:color="auto" w:fill="FFFFFF"/>
        <w:spacing w:before="0" w:after="0" w:line="240" w:lineRule="auto"/>
        <w:jc w:val="both"/>
        <w:rPr>
          <w:rFonts w:eastAsia="Calibri" w:cs="Arial"/>
          <w:vanish/>
          <w:color w:val="000000"/>
          <w:lang w:eastAsia="en-US"/>
          <w:specVanish/>
        </w:rPr>
      </w:pPr>
    </w:p>
    <w:p w:rsidR="00026A6C" w:rsidRDefault="0032751D" w:rsidP="00A46611">
      <w:pPr>
        <w:ind w:firstLine="720"/>
        <w:rPr>
          <w:b/>
        </w:rPr>
      </w:pPr>
      <w:r>
        <w:rPr>
          <w:b/>
          <w:sz w:val="24"/>
          <w:szCs w:val="24"/>
        </w:rPr>
        <w:t>Taxi and P</w:t>
      </w:r>
      <w:r w:rsidR="00A92E55" w:rsidRPr="00AA4FD4">
        <w:rPr>
          <w:b/>
          <w:sz w:val="24"/>
          <w:szCs w:val="24"/>
        </w:rPr>
        <w:t>rivate Hire</w:t>
      </w:r>
      <w:r w:rsidR="00A92E55">
        <w:rPr>
          <w:b/>
        </w:rPr>
        <w:t xml:space="preserve"> </w:t>
      </w:r>
    </w:p>
    <w:p w:rsidR="00A46611" w:rsidRPr="003B273C" w:rsidRDefault="00A46611" w:rsidP="00A46611">
      <w:pPr>
        <w:ind w:firstLine="720"/>
        <w:rPr>
          <w:b/>
        </w:rPr>
      </w:pPr>
    </w:p>
    <w:p w:rsidR="00AB6AD9" w:rsidRDefault="00001552"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w:t>
      </w:r>
      <w:r w:rsidR="002D1EF9">
        <w:rPr>
          <w:rFonts w:ascii="Arial" w:hAnsi="Arial" w:cs="Arial"/>
        </w:rPr>
        <w:t>9</w:t>
      </w:r>
      <w:r w:rsidR="0032751D">
        <w:rPr>
          <w:rFonts w:ascii="Arial" w:hAnsi="Arial" w:cs="Arial"/>
        </w:rPr>
        <w:tab/>
      </w:r>
      <w:r w:rsidR="00217A8C">
        <w:rPr>
          <w:rFonts w:ascii="Arial" w:hAnsi="Arial" w:cs="Arial"/>
        </w:rPr>
        <w:t xml:space="preserve"> A complaint was received that a driver had refused to take an assistance dog. An </w:t>
      </w:r>
      <w:r w:rsidR="00E61B55">
        <w:rPr>
          <w:rFonts w:ascii="Arial" w:hAnsi="Arial" w:cs="Arial"/>
        </w:rPr>
        <w:t>investigation</w:t>
      </w:r>
      <w:r w:rsidR="00217A8C">
        <w:rPr>
          <w:rFonts w:ascii="Arial" w:hAnsi="Arial" w:cs="Arial"/>
        </w:rPr>
        <w:t xml:space="preserve"> was carried out by a licencing officer. The driver did refuse to take the dog on the grounds he had </w:t>
      </w:r>
      <w:r w:rsidR="00E61B55">
        <w:rPr>
          <w:rFonts w:ascii="Arial" w:hAnsi="Arial" w:cs="Arial"/>
        </w:rPr>
        <w:t>allergies</w:t>
      </w:r>
      <w:r w:rsidR="00217A8C">
        <w:rPr>
          <w:rFonts w:ascii="Arial" w:hAnsi="Arial" w:cs="Arial"/>
        </w:rPr>
        <w:t xml:space="preserve">. The driver did not </w:t>
      </w:r>
      <w:r w:rsidR="00B54821">
        <w:rPr>
          <w:rFonts w:ascii="Arial" w:hAnsi="Arial" w:cs="Arial"/>
        </w:rPr>
        <w:t xml:space="preserve">have an </w:t>
      </w:r>
      <w:r w:rsidR="00E61B55">
        <w:rPr>
          <w:rFonts w:ascii="Arial" w:hAnsi="Arial" w:cs="Arial"/>
        </w:rPr>
        <w:t>exemption</w:t>
      </w:r>
      <w:r w:rsidR="00B54821">
        <w:rPr>
          <w:rFonts w:ascii="Arial" w:hAnsi="Arial" w:cs="Arial"/>
        </w:rPr>
        <w:t xml:space="preserve"> for </w:t>
      </w:r>
      <w:r w:rsidR="00E61B55">
        <w:rPr>
          <w:rFonts w:ascii="Arial" w:hAnsi="Arial" w:cs="Arial"/>
        </w:rPr>
        <w:t>allergies</w:t>
      </w:r>
      <w:r w:rsidR="00B54821">
        <w:rPr>
          <w:rFonts w:ascii="Arial" w:hAnsi="Arial" w:cs="Arial"/>
        </w:rPr>
        <w:t>. On further investigation the dog was not a registered assistance dog. A driver can refuse to take an animal but must take an assistance dog unless they have an exemption. The driver has received robust advice.</w:t>
      </w:r>
    </w:p>
    <w:p w:rsidR="00977401" w:rsidRDefault="00977401" w:rsidP="00A46611">
      <w:pPr>
        <w:pStyle w:val="NormalWeb"/>
        <w:shd w:val="clear" w:color="auto" w:fill="FFFFFF"/>
        <w:spacing w:before="0" w:after="0" w:line="240" w:lineRule="auto"/>
        <w:jc w:val="both"/>
        <w:rPr>
          <w:rFonts w:ascii="Arial" w:hAnsi="Arial" w:cs="Arial"/>
        </w:rPr>
      </w:pPr>
    </w:p>
    <w:p w:rsidR="006E1C5D" w:rsidRDefault="002D1EF9"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3.10</w:t>
      </w:r>
      <w:r w:rsidR="00977401">
        <w:rPr>
          <w:rFonts w:ascii="Arial" w:hAnsi="Arial" w:cs="Arial"/>
        </w:rPr>
        <w:tab/>
      </w:r>
      <w:r w:rsidR="00B54821">
        <w:rPr>
          <w:rFonts w:ascii="Arial" w:hAnsi="Arial" w:cs="Arial"/>
        </w:rPr>
        <w:t>There has been one new driver</w:t>
      </w:r>
      <w:r w:rsidR="00645FFA">
        <w:rPr>
          <w:rFonts w:ascii="Arial" w:hAnsi="Arial" w:cs="Arial"/>
        </w:rPr>
        <w:t xml:space="preserve"> since the last meeting</w:t>
      </w:r>
      <w:r w:rsidR="009813D7">
        <w:rPr>
          <w:rFonts w:ascii="Arial" w:hAnsi="Arial" w:cs="Arial"/>
        </w:rPr>
        <w:t>.</w:t>
      </w:r>
    </w:p>
    <w:p w:rsidR="007875DD" w:rsidRDefault="007875DD" w:rsidP="00A46611">
      <w:pPr>
        <w:pStyle w:val="NormalWeb"/>
        <w:shd w:val="clear" w:color="auto" w:fill="FFFFFF"/>
        <w:spacing w:before="0" w:after="0" w:line="240" w:lineRule="auto"/>
        <w:ind w:left="720" w:hanging="720"/>
        <w:jc w:val="both"/>
        <w:rPr>
          <w:rFonts w:ascii="Arial" w:hAnsi="Arial" w:cs="Arial"/>
        </w:rPr>
      </w:pPr>
    </w:p>
    <w:p w:rsidR="00B105C4" w:rsidRDefault="002D1EF9"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3.11</w:t>
      </w:r>
      <w:r w:rsidR="00FF4C4E">
        <w:rPr>
          <w:rFonts w:ascii="Arial" w:hAnsi="Arial" w:cs="Arial"/>
        </w:rPr>
        <w:tab/>
        <w:t xml:space="preserve">There have been </w:t>
      </w:r>
      <w:r w:rsidR="00B54821">
        <w:rPr>
          <w:rFonts w:ascii="Arial" w:hAnsi="Arial" w:cs="Arial"/>
        </w:rPr>
        <w:t>four</w:t>
      </w:r>
      <w:r w:rsidR="006E1C5D">
        <w:rPr>
          <w:rFonts w:ascii="Arial" w:hAnsi="Arial" w:cs="Arial"/>
        </w:rPr>
        <w:t xml:space="preserve"> </w:t>
      </w:r>
      <w:r w:rsidR="00287EEE">
        <w:rPr>
          <w:rFonts w:ascii="Arial" w:hAnsi="Arial" w:cs="Arial"/>
        </w:rPr>
        <w:t>complaints</w:t>
      </w:r>
      <w:r w:rsidR="006E1C5D">
        <w:rPr>
          <w:rFonts w:ascii="Arial" w:hAnsi="Arial" w:cs="Arial"/>
        </w:rPr>
        <w:t xml:space="preserve"> about vehicles that are licensed in other areas </w:t>
      </w:r>
      <w:r w:rsidR="002378B2">
        <w:rPr>
          <w:rFonts w:ascii="Arial" w:hAnsi="Arial" w:cs="Arial"/>
        </w:rPr>
        <w:t>parking on the Traffic Regulation Order</w:t>
      </w:r>
      <w:r w:rsidR="00BC6608">
        <w:rPr>
          <w:rFonts w:ascii="Arial" w:hAnsi="Arial" w:cs="Arial"/>
        </w:rPr>
        <w:t xml:space="preserve"> reserved</w:t>
      </w:r>
      <w:r w:rsidR="0080151B">
        <w:rPr>
          <w:rFonts w:ascii="Arial" w:hAnsi="Arial" w:cs="Arial"/>
        </w:rPr>
        <w:t xml:space="preserve"> for Mans</w:t>
      </w:r>
      <w:r w:rsidR="0080151B">
        <w:rPr>
          <w:rFonts w:ascii="Arial" w:hAnsi="Arial" w:cs="Arial"/>
        </w:rPr>
        <w:lastRenderedPageBreak/>
        <w:t xml:space="preserve">field </w:t>
      </w:r>
      <w:r w:rsidR="00287EEE">
        <w:rPr>
          <w:rFonts w:ascii="Arial" w:hAnsi="Arial" w:cs="Arial"/>
        </w:rPr>
        <w:t>District Council</w:t>
      </w:r>
      <w:r w:rsidR="00BC6608">
        <w:rPr>
          <w:rFonts w:ascii="Arial" w:hAnsi="Arial" w:cs="Arial"/>
        </w:rPr>
        <w:t xml:space="preserve"> licensed</w:t>
      </w:r>
      <w:r w:rsidR="0080151B">
        <w:rPr>
          <w:rFonts w:ascii="Arial" w:hAnsi="Arial" w:cs="Arial"/>
        </w:rPr>
        <w:t xml:space="preserve"> vehicles. All complaints have been reported to the relevant authority and the appropri</w:t>
      </w:r>
      <w:r w:rsidR="002B614E">
        <w:rPr>
          <w:rFonts w:ascii="Arial" w:hAnsi="Arial" w:cs="Arial"/>
        </w:rPr>
        <w:t>ate action has been taken by</w:t>
      </w:r>
      <w:r w:rsidR="0080151B">
        <w:rPr>
          <w:rFonts w:ascii="Arial" w:hAnsi="Arial" w:cs="Arial"/>
        </w:rPr>
        <w:t xml:space="preserve"> way</w:t>
      </w:r>
      <w:r w:rsidR="007875DD">
        <w:rPr>
          <w:rFonts w:ascii="Arial" w:hAnsi="Arial" w:cs="Arial"/>
        </w:rPr>
        <w:t xml:space="preserve"> of warnings, advice and </w:t>
      </w:r>
      <w:r w:rsidR="00E273DC">
        <w:rPr>
          <w:rFonts w:ascii="Arial" w:hAnsi="Arial" w:cs="Arial"/>
        </w:rPr>
        <w:t>regulatory points</w:t>
      </w:r>
      <w:r w:rsidR="0080151B">
        <w:rPr>
          <w:rFonts w:ascii="Arial" w:hAnsi="Arial" w:cs="Arial"/>
        </w:rPr>
        <w:t>.</w:t>
      </w:r>
      <w:r w:rsidR="00FD7FE4">
        <w:rPr>
          <w:rFonts w:ascii="Arial" w:hAnsi="Arial" w:cs="Arial"/>
        </w:rPr>
        <w:t xml:space="preserve"> </w:t>
      </w:r>
    </w:p>
    <w:p w:rsidR="00B105C4" w:rsidRDefault="00B105C4" w:rsidP="00A46611">
      <w:pPr>
        <w:pStyle w:val="NormalWeb"/>
        <w:shd w:val="clear" w:color="auto" w:fill="FFFFFF"/>
        <w:spacing w:before="0" w:after="0" w:line="240" w:lineRule="auto"/>
        <w:ind w:left="720" w:hanging="720"/>
        <w:jc w:val="both"/>
        <w:rPr>
          <w:rFonts w:ascii="Arial" w:hAnsi="Arial" w:cs="Arial"/>
        </w:rPr>
      </w:pPr>
    </w:p>
    <w:p w:rsidR="00B54821" w:rsidRDefault="00001552" w:rsidP="00645FFA">
      <w:pPr>
        <w:ind w:left="709" w:hanging="709"/>
        <w:rPr>
          <w:rFonts w:cs="Arial"/>
          <w:color w:val="0B0C0C"/>
          <w:sz w:val="24"/>
          <w:szCs w:val="24"/>
        </w:rPr>
      </w:pPr>
      <w:r>
        <w:rPr>
          <w:sz w:val="24"/>
          <w:szCs w:val="24"/>
        </w:rPr>
        <w:t>3.1</w:t>
      </w:r>
      <w:r w:rsidR="002D1EF9">
        <w:rPr>
          <w:sz w:val="24"/>
          <w:szCs w:val="24"/>
        </w:rPr>
        <w:t>2</w:t>
      </w:r>
      <w:r w:rsidR="00FD7FE4">
        <w:rPr>
          <w:sz w:val="24"/>
          <w:szCs w:val="24"/>
        </w:rPr>
        <w:tab/>
      </w:r>
      <w:r w:rsidR="00B105C4" w:rsidRPr="000D4B9E">
        <w:rPr>
          <w:sz w:val="24"/>
          <w:szCs w:val="24"/>
        </w:rPr>
        <w:tab/>
      </w:r>
      <w:r w:rsidR="00B54821">
        <w:rPr>
          <w:rFonts w:cs="Arial"/>
          <w:color w:val="0B0C0C"/>
          <w:sz w:val="24"/>
          <w:szCs w:val="24"/>
        </w:rPr>
        <w:t xml:space="preserve"> A complaint has been received that a driver was taking photos of another driver whilst behind the wheel of his vehicle. A licensing officer has conducted an </w:t>
      </w:r>
      <w:r w:rsidR="00E61B55">
        <w:rPr>
          <w:rFonts w:cs="Arial"/>
          <w:color w:val="0B0C0C"/>
          <w:sz w:val="24"/>
          <w:szCs w:val="24"/>
        </w:rPr>
        <w:t>investigation</w:t>
      </w:r>
      <w:r w:rsidR="009F3351">
        <w:rPr>
          <w:rFonts w:cs="Arial"/>
          <w:color w:val="0B0C0C"/>
          <w:sz w:val="24"/>
          <w:szCs w:val="24"/>
        </w:rPr>
        <w:t xml:space="preserve"> and no further action has been taken.</w:t>
      </w:r>
      <w:r w:rsidR="00645FFA">
        <w:rPr>
          <w:rFonts w:cs="Arial"/>
          <w:color w:val="0B0C0C"/>
          <w:sz w:val="24"/>
          <w:szCs w:val="24"/>
        </w:rPr>
        <w:t xml:space="preserve"> </w:t>
      </w:r>
    </w:p>
    <w:p w:rsidR="0062448F" w:rsidRDefault="0062448F" w:rsidP="0062448F">
      <w:pPr>
        <w:shd w:val="clear" w:color="auto" w:fill="FFFFFF"/>
        <w:spacing w:after="75"/>
        <w:ind w:left="1431"/>
        <w:rPr>
          <w:rFonts w:cs="Arial"/>
          <w:color w:val="0B0C0C"/>
          <w:sz w:val="24"/>
          <w:szCs w:val="24"/>
        </w:rPr>
      </w:pPr>
    </w:p>
    <w:p w:rsidR="000D4B9E" w:rsidRDefault="002D1EF9" w:rsidP="00645FFA">
      <w:pPr>
        <w:shd w:val="clear" w:color="auto" w:fill="FFFFFF"/>
        <w:spacing w:after="75"/>
        <w:ind w:left="720" w:hanging="720"/>
        <w:rPr>
          <w:rFonts w:cs="Arial"/>
          <w:color w:val="0B0C0C"/>
          <w:sz w:val="24"/>
          <w:szCs w:val="24"/>
          <w:shd w:val="clear" w:color="auto" w:fill="FFFFFF"/>
        </w:rPr>
      </w:pPr>
      <w:r>
        <w:rPr>
          <w:rFonts w:cs="Arial"/>
          <w:color w:val="0B0C0C"/>
          <w:sz w:val="24"/>
          <w:szCs w:val="24"/>
        </w:rPr>
        <w:t>3.13</w:t>
      </w:r>
      <w:r w:rsidR="0062448F">
        <w:rPr>
          <w:rFonts w:cs="Arial"/>
          <w:color w:val="0B0C0C"/>
          <w:sz w:val="24"/>
          <w:szCs w:val="24"/>
        </w:rPr>
        <w:tab/>
      </w:r>
      <w:r w:rsidR="00645FFA" w:rsidRPr="00457F72">
        <w:rPr>
          <w:rFonts w:cs="Arial"/>
          <w:color w:val="0B0C0C"/>
          <w:sz w:val="24"/>
          <w:szCs w:val="24"/>
          <w:shd w:val="clear" w:color="auto" w:fill="FFFFFF"/>
        </w:rPr>
        <w:t>The </w:t>
      </w:r>
      <w:hyperlink r:id="rId8" w:history="1">
        <w:r w:rsidR="00645FFA" w:rsidRPr="00457F72">
          <w:rPr>
            <w:rFonts w:cs="Arial"/>
            <w:sz w:val="24"/>
            <w:szCs w:val="24"/>
            <w:shd w:val="clear" w:color="auto" w:fill="FFFFFF"/>
          </w:rPr>
          <w:t>Taxis and Private Hire Vehicles (Safeguarding and Road Safety) Act 2022</w:t>
        </w:r>
      </w:hyperlink>
      <w:r w:rsidR="00645FFA" w:rsidRPr="00457F72">
        <w:rPr>
          <w:rFonts w:cs="Arial"/>
          <w:color w:val="0B0C0C"/>
          <w:sz w:val="24"/>
          <w:szCs w:val="24"/>
          <w:shd w:val="clear" w:color="auto" w:fill="FFFFFF"/>
        </w:rPr>
        <w:t> (the act) received Royal Assent on 31 March 2022</w:t>
      </w:r>
      <w:r w:rsidR="00457F72">
        <w:rPr>
          <w:rFonts w:cs="Arial"/>
          <w:color w:val="0B0C0C"/>
          <w:sz w:val="24"/>
          <w:szCs w:val="24"/>
          <w:shd w:val="clear" w:color="auto" w:fill="FFFFFF"/>
        </w:rPr>
        <w:t xml:space="preserve">. </w:t>
      </w:r>
      <w:hyperlink r:id="rId9" w:history="1">
        <w:r w:rsidR="00457F72" w:rsidRPr="00810C1A">
          <w:rPr>
            <w:rStyle w:val="Hyperlink"/>
            <w:rFonts w:cs="Arial"/>
            <w:sz w:val="24"/>
            <w:szCs w:val="24"/>
            <w:shd w:val="clear" w:color="auto" w:fill="FFFFFF"/>
          </w:rPr>
          <w:t>https://www.legislation.gov.uk/ukpga/2022/14/contents/enacted</w:t>
        </w:r>
      </w:hyperlink>
      <w:r w:rsidR="00457F72">
        <w:rPr>
          <w:rFonts w:cs="Arial"/>
          <w:color w:val="0B0C0C"/>
          <w:sz w:val="24"/>
          <w:szCs w:val="24"/>
          <w:shd w:val="clear" w:color="auto" w:fill="FFFFFF"/>
        </w:rPr>
        <w:t>.</w:t>
      </w:r>
    </w:p>
    <w:p w:rsidR="00457F72" w:rsidRPr="00457F72" w:rsidRDefault="00457F72" w:rsidP="00457F72">
      <w:pPr>
        <w:shd w:val="clear" w:color="auto" w:fill="FFFFFF"/>
        <w:spacing w:after="75"/>
        <w:ind w:left="720" w:hanging="720"/>
        <w:rPr>
          <w:rFonts w:cs="Arial"/>
          <w:color w:val="0B0C0C"/>
          <w:sz w:val="24"/>
          <w:szCs w:val="24"/>
          <w:shd w:val="clear" w:color="auto" w:fill="FFFFFF"/>
        </w:rPr>
      </w:pPr>
      <w:r>
        <w:rPr>
          <w:rFonts w:cs="Arial"/>
          <w:color w:val="0B0C0C"/>
          <w:sz w:val="24"/>
          <w:szCs w:val="24"/>
          <w:shd w:val="clear" w:color="auto" w:fill="FFFFFF"/>
        </w:rPr>
        <w:tab/>
      </w:r>
      <w:r w:rsidRPr="00457F72">
        <w:rPr>
          <w:rFonts w:cs="Arial"/>
          <w:color w:val="0B0C0C"/>
          <w:sz w:val="24"/>
          <w:szCs w:val="24"/>
          <w:shd w:val="clear" w:color="auto" w:fill="FFFFFF"/>
        </w:rPr>
        <w:t>From 31 May 2022, if any licensing authority in England has information about a taxi or PHV driver licensed by another authority that is relevant to safeguarding or road safety concerns in its area, it must share that information with the authority that issued that driver’s licence.</w:t>
      </w:r>
    </w:p>
    <w:p w:rsidR="00457F72" w:rsidRPr="00457F72" w:rsidRDefault="00457F72" w:rsidP="00457F72">
      <w:pPr>
        <w:shd w:val="clear" w:color="auto" w:fill="FFFFFF"/>
        <w:spacing w:after="75"/>
        <w:ind w:left="720" w:hanging="720"/>
        <w:rPr>
          <w:rFonts w:cs="Arial"/>
          <w:color w:val="0B0C0C"/>
          <w:sz w:val="24"/>
          <w:szCs w:val="24"/>
          <w:shd w:val="clear" w:color="auto" w:fill="FFFFFF"/>
        </w:rPr>
      </w:pPr>
    </w:p>
    <w:p w:rsidR="00457F72" w:rsidRPr="00457F72" w:rsidRDefault="00457F72" w:rsidP="009813D7">
      <w:pPr>
        <w:shd w:val="clear" w:color="auto" w:fill="FFFFFF"/>
        <w:spacing w:after="75"/>
        <w:ind w:left="720"/>
        <w:rPr>
          <w:rFonts w:cs="Arial"/>
          <w:color w:val="0B0C0C"/>
          <w:sz w:val="24"/>
          <w:szCs w:val="24"/>
          <w:shd w:val="clear" w:color="auto" w:fill="FFFFFF"/>
        </w:rPr>
      </w:pPr>
      <w:r w:rsidRPr="00457F72">
        <w:rPr>
          <w:rFonts w:cs="Arial"/>
          <w:color w:val="0B0C0C"/>
          <w:sz w:val="24"/>
          <w:szCs w:val="24"/>
          <w:shd w:val="clear" w:color="auto" w:fill="FFFFFF"/>
        </w:rPr>
        <w:t>Any licensing authority provided with such information by another authority must consider whether to suspend or revoke the driver’s licence and inform the authority that shared the information of its decision.</w:t>
      </w:r>
    </w:p>
    <w:p w:rsidR="009813D7" w:rsidRDefault="00457F72" w:rsidP="00457F72">
      <w:pPr>
        <w:shd w:val="clear" w:color="auto" w:fill="FFFFFF"/>
        <w:spacing w:after="75"/>
        <w:ind w:left="720" w:hanging="720"/>
        <w:rPr>
          <w:rFonts w:cs="Arial"/>
          <w:color w:val="0B0C0C"/>
          <w:sz w:val="24"/>
          <w:szCs w:val="24"/>
          <w:shd w:val="clear" w:color="auto" w:fill="FFFFFF"/>
        </w:rPr>
      </w:pPr>
      <w:r w:rsidRPr="00457F72">
        <w:rPr>
          <w:rFonts w:cs="Arial"/>
          <w:color w:val="0B0C0C"/>
          <w:sz w:val="24"/>
          <w:szCs w:val="24"/>
          <w:shd w:val="clear" w:color="auto" w:fill="FFFFFF"/>
        </w:rPr>
        <w:t xml:space="preserve"> </w:t>
      </w:r>
      <w:r>
        <w:rPr>
          <w:rFonts w:cs="Arial"/>
          <w:color w:val="0B0C0C"/>
          <w:sz w:val="24"/>
          <w:szCs w:val="24"/>
          <w:shd w:val="clear" w:color="auto" w:fill="FFFFFF"/>
        </w:rPr>
        <w:tab/>
      </w:r>
      <w:r w:rsidRPr="00457F72">
        <w:rPr>
          <w:rFonts w:cs="Arial"/>
          <w:color w:val="0B0C0C"/>
          <w:sz w:val="24"/>
          <w:szCs w:val="24"/>
          <w:shd w:val="clear" w:color="auto" w:fill="FFFFFF"/>
        </w:rPr>
        <w:t>The act will require licensing authorities in England to input, into a central database, instances where the authority has refused, suspended, chosen not to renew or revoked a taxi or PHV driver’s licence based wholly or in part on information relating to the driver concerning safeguarding or road safety.</w:t>
      </w:r>
      <w:r w:rsidR="009813D7">
        <w:rPr>
          <w:rFonts w:cs="Arial"/>
          <w:color w:val="0B0C0C"/>
          <w:sz w:val="24"/>
          <w:szCs w:val="24"/>
          <w:shd w:val="clear" w:color="auto" w:fill="FFFFFF"/>
        </w:rPr>
        <w:tab/>
      </w:r>
    </w:p>
    <w:p w:rsidR="009813D7" w:rsidRDefault="009813D7" w:rsidP="00457F72">
      <w:pPr>
        <w:shd w:val="clear" w:color="auto" w:fill="FFFFFF"/>
        <w:spacing w:after="75"/>
        <w:ind w:left="720" w:hanging="720"/>
        <w:rPr>
          <w:rFonts w:cs="Arial"/>
          <w:color w:val="0B0C0C"/>
          <w:sz w:val="24"/>
          <w:szCs w:val="24"/>
          <w:shd w:val="clear" w:color="auto" w:fill="FFFFFF"/>
        </w:rPr>
      </w:pPr>
      <w:r>
        <w:rPr>
          <w:rFonts w:cs="Arial"/>
          <w:color w:val="0B0C0C"/>
          <w:sz w:val="24"/>
          <w:szCs w:val="24"/>
          <w:shd w:val="clear" w:color="auto" w:fill="FFFFFF"/>
        </w:rPr>
        <w:tab/>
        <w:t xml:space="preserve">Mansfield District Council </w:t>
      </w:r>
      <w:r w:rsidR="002A4EC3">
        <w:rPr>
          <w:rFonts w:cs="Arial"/>
          <w:color w:val="0B0C0C"/>
          <w:sz w:val="24"/>
          <w:szCs w:val="24"/>
          <w:shd w:val="clear" w:color="auto" w:fill="FFFFFF"/>
        </w:rPr>
        <w:t>are using the NR3 data base.</w:t>
      </w:r>
    </w:p>
    <w:p w:rsidR="000D4B9E" w:rsidRDefault="000D4B9E" w:rsidP="00A46611">
      <w:pPr>
        <w:shd w:val="clear" w:color="auto" w:fill="FFFFFF"/>
        <w:spacing w:after="75"/>
        <w:rPr>
          <w:rFonts w:cs="Arial"/>
          <w:color w:val="0B0C0C"/>
          <w:sz w:val="24"/>
          <w:szCs w:val="24"/>
        </w:rPr>
      </w:pPr>
    </w:p>
    <w:p w:rsidR="00457F72" w:rsidRPr="00457F72" w:rsidRDefault="002D1EF9" w:rsidP="00457F72">
      <w:pPr>
        <w:spacing w:after="75"/>
        <w:ind w:left="720" w:hanging="720"/>
        <w:rPr>
          <w:rFonts w:cs="Arial"/>
          <w:color w:val="0B0C0C"/>
        </w:rPr>
      </w:pPr>
      <w:r>
        <w:rPr>
          <w:rFonts w:cs="Arial"/>
          <w:color w:val="0B0C0C"/>
          <w:sz w:val="24"/>
          <w:szCs w:val="24"/>
        </w:rPr>
        <w:t>3.14</w:t>
      </w:r>
      <w:r w:rsidR="0062448F">
        <w:rPr>
          <w:rFonts w:cs="Arial"/>
          <w:color w:val="0B0C0C"/>
          <w:sz w:val="24"/>
          <w:szCs w:val="24"/>
        </w:rPr>
        <w:tab/>
      </w:r>
      <w:r w:rsidR="00457F72" w:rsidRPr="00457F72">
        <w:rPr>
          <w:rFonts w:cs="Arial"/>
          <w:color w:val="0B0C0C"/>
        </w:rPr>
        <w:t xml:space="preserve">The government has updated its guidance for local licencing authorities on the Taxi and Private Hire Vehicle (PHV) duties under the Equality Act 2010. This </w:t>
      </w:r>
      <w:r w:rsidR="00457F72" w:rsidRPr="00457F72">
        <w:rPr>
          <w:rFonts w:cs="Arial"/>
          <w:color w:val="0B0C0C"/>
        </w:rPr>
        <w:lastRenderedPageBreak/>
        <w:t>is in preparation for the commencement of the Taxis and Private Hire Vehicles (Disabled Persons) Act 2022 on 28 June, which will amend the Equality Act 2010.</w:t>
      </w:r>
    </w:p>
    <w:p w:rsidR="00457F72" w:rsidRPr="00457F72" w:rsidRDefault="00457F72" w:rsidP="004F6DE0">
      <w:pPr>
        <w:shd w:val="clear" w:color="auto" w:fill="FFFFFF"/>
        <w:spacing w:after="75"/>
        <w:ind w:left="720"/>
        <w:rPr>
          <w:rFonts w:cs="Arial"/>
          <w:color w:val="0B0C0C"/>
          <w:sz w:val="24"/>
          <w:szCs w:val="24"/>
        </w:rPr>
      </w:pPr>
      <w:r w:rsidRPr="00457F72">
        <w:rPr>
          <w:rFonts w:cs="Arial"/>
          <w:color w:val="0B0C0C"/>
          <w:sz w:val="24"/>
          <w:szCs w:val="24"/>
        </w:rPr>
        <w:t>This guidance is made up of both statutory and non-statutory guidance, providing advice on how to:</w:t>
      </w:r>
    </w:p>
    <w:p w:rsidR="00457F72" w:rsidRPr="00457F72" w:rsidRDefault="00457F72" w:rsidP="00457F72">
      <w:pPr>
        <w:numPr>
          <w:ilvl w:val="0"/>
          <w:numId w:val="9"/>
        </w:numPr>
        <w:shd w:val="clear" w:color="auto" w:fill="FFFFFF"/>
        <w:tabs>
          <w:tab w:val="clear" w:pos="1080"/>
          <w:tab w:val="num" w:pos="720"/>
        </w:tabs>
        <w:spacing w:after="75"/>
        <w:rPr>
          <w:rFonts w:cs="Arial"/>
          <w:color w:val="0B0C0C"/>
          <w:sz w:val="24"/>
          <w:szCs w:val="24"/>
        </w:rPr>
      </w:pPr>
      <w:r w:rsidRPr="00457F72">
        <w:rPr>
          <w:rFonts w:cs="Arial"/>
          <w:color w:val="0B0C0C"/>
          <w:sz w:val="24"/>
          <w:szCs w:val="24"/>
        </w:rPr>
        <w:t>designate vehicles as wheelchair accessible</w:t>
      </w:r>
    </w:p>
    <w:p w:rsidR="00457F72" w:rsidRPr="00457F72" w:rsidRDefault="00457F72" w:rsidP="00457F72">
      <w:pPr>
        <w:numPr>
          <w:ilvl w:val="0"/>
          <w:numId w:val="9"/>
        </w:numPr>
        <w:shd w:val="clear" w:color="auto" w:fill="FFFFFF"/>
        <w:tabs>
          <w:tab w:val="clear" w:pos="1080"/>
          <w:tab w:val="num" w:pos="720"/>
        </w:tabs>
        <w:spacing w:after="75"/>
        <w:rPr>
          <w:rFonts w:cs="Arial"/>
          <w:color w:val="0B0C0C"/>
          <w:sz w:val="24"/>
          <w:szCs w:val="24"/>
        </w:rPr>
      </w:pPr>
      <w:r w:rsidRPr="00457F72">
        <w:rPr>
          <w:rFonts w:cs="Arial"/>
          <w:color w:val="0B0C0C"/>
          <w:sz w:val="24"/>
          <w:szCs w:val="24"/>
        </w:rPr>
        <w:t>communicate new requirements to drivers and operators</w:t>
      </w:r>
    </w:p>
    <w:p w:rsidR="00457F72" w:rsidRPr="00457F72" w:rsidRDefault="00457F72" w:rsidP="00457F72">
      <w:pPr>
        <w:numPr>
          <w:ilvl w:val="0"/>
          <w:numId w:val="9"/>
        </w:numPr>
        <w:shd w:val="clear" w:color="auto" w:fill="FFFFFF"/>
        <w:tabs>
          <w:tab w:val="clear" w:pos="1080"/>
          <w:tab w:val="num" w:pos="720"/>
        </w:tabs>
        <w:spacing w:after="75"/>
        <w:rPr>
          <w:rFonts w:cs="Arial"/>
          <w:color w:val="0B0C0C"/>
          <w:sz w:val="24"/>
          <w:szCs w:val="24"/>
        </w:rPr>
      </w:pPr>
      <w:r w:rsidRPr="00457F72">
        <w:rPr>
          <w:rFonts w:cs="Arial"/>
          <w:color w:val="0B0C0C"/>
          <w:sz w:val="24"/>
          <w:szCs w:val="24"/>
        </w:rPr>
        <w:t>handle exemption applications from drivers</w:t>
      </w:r>
    </w:p>
    <w:p w:rsidR="00457F72" w:rsidRPr="00457F72" w:rsidRDefault="00457F72" w:rsidP="00457F72">
      <w:pPr>
        <w:numPr>
          <w:ilvl w:val="0"/>
          <w:numId w:val="9"/>
        </w:numPr>
        <w:shd w:val="clear" w:color="auto" w:fill="FFFFFF"/>
        <w:tabs>
          <w:tab w:val="clear" w:pos="1080"/>
          <w:tab w:val="num" w:pos="720"/>
        </w:tabs>
        <w:spacing w:after="75"/>
        <w:rPr>
          <w:rFonts w:cs="Arial"/>
          <w:color w:val="0B0C0C"/>
          <w:sz w:val="24"/>
          <w:szCs w:val="24"/>
        </w:rPr>
      </w:pPr>
      <w:r w:rsidRPr="00457F72">
        <w:rPr>
          <w:rFonts w:cs="Arial"/>
          <w:color w:val="0B0C0C"/>
          <w:sz w:val="24"/>
          <w:szCs w:val="24"/>
        </w:rPr>
        <w:t>enforce the requirements</w:t>
      </w:r>
    </w:p>
    <w:p w:rsidR="00457F72" w:rsidRDefault="00457F72" w:rsidP="004F6DE0">
      <w:pPr>
        <w:shd w:val="clear" w:color="auto" w:fill="FFFFFF"/>
        <w:spacing w:after="75"/>
        <w:ind w:left="720"/>
        <w:rPr>
          <w:rFonts w:cs="Arial"/>
          <w:color w:val="0B0C0C"/>
          <w:sz w:val="24"/>
          <w:szCs w:val="24"/>
        </w:rPr>
      </w:pPr>
      <w:r w:rsidRPr="00457F72">
        <w:rPr>
          <w:rFonts w:cs="Arial"/>
          <w:color w:val="0B0C0C"/>
          <w:sz w:val="24"/>
          <w:szCs w:val="24"/>
        </w:rPr>
        <w:t>The updated guidance can be found by following this link: </w:t>
      </w:r>
      <w:hyperlink r:id="rId10" w:history="1">
        <w:r w:rsidRPr="00457F72">
          <w:rPr>
            <w:rStyle w:val="Hyperlink"/>
            <w:rFonts w:cs="Arial"/>
            <w:sz w:val="24"/>
            <w:szCs w:val="24"/>
          </w:rPr>
          <w:t>https://www.gov.uk/government/publications/access-to-taxis-and-private-hire-vehicles-for-disabled-users</w:t>
        </w:r>
      </w:hyperlink>
    </w:p>
    <w:p w:rsidR="004F6DE0" w:rsidRDefault="004F6DE0" w:rsidP="004F6DE0">
      <w:pPr>
        <w:shd w:val="clear" w:color="auto" w:fill="FFFFFF"/>
        <w:spacing w:after="75"/>
        <w:ind w:left="720"/>
        <w:rPr>
          <w:rFonts w:cs="Arial"/>
          <w:color w:val="0B0C0C"/>
          <w:sz w:val="24"/>
          <w:szCs w:val="24"/>
        </w:rPr>
      </w:pPr>
    </w:p>
    <w:p w:rsidR="002A4EC3" w:rsidRDefault="002D1EF9" w:rsidP="004629B6">
      <w:pPr>
        <w:shd w:val="clear" w:color="auto" w:fill="FFFFFF"/>
        <w:spacing w:after="75"/>
        <w:ind w:left="720" w:hanging="720"/>
        <w:rPr>
          <w:rFonts w:cs="Arial"/>
          <w:color w:val="0B0C0C"/>
          <w:sz w:val="24"/>
          <w:szCs w:val="24"/>
        </w:rPr>
      </w:pPr>
      <w:r>
        <w:rPr>
          <w:rFonts w:cs="Arial"/>
          <w:color w:val="0B0C0C"/>
          <w:sz w:val="24"/>
          <w:szCs w:val="24"/>
        </w:rPr>
        <w:t>3.15</w:t>
      </w:r>
      <w:r w:rsidR="004F6DE0">
        <w:rPr>
          <w:rFonts w:cs="Arial"/>
          <w:color w:val="0B0C0C"/>
          <w:sz w:val="24"/>
          <w:szCs w:val="24"/>
        </w:rPr>
        <w:tab/>
      </w:r>
      <w:r w:rsidR="004F6DE0" w:rsidRPr="004F6DE0">
        <w:rPr>
          <w:rFonts w:cs="Arial"/>
          <w:color w:val="0B0C0C"/>
          <w:sz w:val="24"/>
          <w:szCs w:val="24"/>
        </w:rPr>
        <w:t xml:space="preserve">The management of the database' Clean Air Zones (CAZ) service has been transferred to the DVLA from DEFRA.  </w:t>
      </w:r>
    </w:p>
    <w:p w:rsidR="004629B6" w:rsidRPr="0062448F" w:rsidRDefault="004629B6" w:rsidP="004629B6">
      <w:pPr>
        <w:shd w:val="clear" w:color="auto" w:fill="FFFFFF"/>
        <w:spacing w:after="75"/>
        <w:ind w:left="720" w:hanging="720"/>
        <w:rPr>
          <w:rFonts w:cs="Arial"/>
          <w:color w:val="0B0C0C"/>
          <w:sz w:val="24"/>
          <w:szCs w:val="24"/>
        </w:rPr>
      </w:pPr>
      <w:r>
        <w:rPr>
          <w:rFonts w:cs="Arial"/>
          <w:color w:val="0B0C0C"/>
          <w:sz w:val="24"/>
          <w:szCs w:val="24"/>
        </w:rPr>
        <w:tab/>
      </w:r>
      <w:r w:rsidR="004F6DE0" w:rsidRPr="004F6DE0">
        <w:rPr>
          <w:rFonts w:cs="Arial"/>
          <w:color w:val="0B0C0C"/>
          <w:sz w:val="24"/>
          <w:szCs w:val="24"/>
        </w:rPr>
        <w:t>The operation of the CAZ Service has successfully transitioned from the Joint Air Quality Unit (JAQU) to the Driver and Vehicle Licensing Agency (DVLA). As part of this transition, DVLA have taken over some responsibilities related to the Taxi and PHV Database. This includes ensuring the database is kept up to date and the management of any Adhoc queries you may have relating to the database. DVLA will contact you if you have failed to upload data for more than 2 weeks. Informed Solutions will continue to assist with technical support including assisting with upload/account issues. Defra will continue to mana</w:t>
      </w:r>
      <w:r>
        <w:rPr>
          <w:rFonts w:cs="Arial"/>
          <w:color w:val="0B0C0C"/>
          <w:sz w:val="24"/>
          <w:szCs w:val="24"/>
        </w:rPr>
        <w:t>ge data governance and finance.</w:t>
      </w:r>
    </w:p>
    <w:p w:rsidR="00B10694" w:rsidRDefault="00B10694" w:rsidP="00A46611">
      <w:pPr>
        <w:ind w:left="720" w:hanging="720"/>
        <w:rPr>
          <w:rFonts w:cs="Arial"/>
          <w:sz w:val="24"/>
          <w:szCs w:val="24"/>
        </w:rPr>
      </w:pPr>
    </w:p>
    <w:p w:rsidR="00A902BE" w:rsidRDefault="00FF6FFA" w:rsidP="00A46611">
      <w:pPr>
        <w:ind w:firstLine="720"/>
        <w:rPr>
          <w:rFonts w:cs="Arial"/>
          <w:b/>
          <w:sz w:val="24"/>
          <w:szCs w:val="24"/>
        </w:rPr>
      </w:pPr>
      <w:r w:rsidRPr="00977401">
        <w:rPr>
          <w:rFonts w:cs="Arial"/>
          <w:b/>
          <w:sz w:val="24"/>
          <w:szCs w:val="24"/>
        </w:rPr>
        <w:t xml:space="preserve">Animal Welfare </w:t>
      </w:r>
      <w:r w:rsidR="00440557">
        <w:rPr>
          <w:rFonts w:cs="Arial"/>
          <w:b/>
          <w:sz w:val="24"/>
          <w:szCs w:val="24"/>
        </w:rPr>
        <w:t>A</w:t>
      </w:r>
      <w:r w:rsidR="00C47DCA" w:rsidRPr="00977401">
        <w:rPr>
          <w:rFonts w:cs="Arial"/>
          <w:b/>
          <w:sz w:val="24"/>
          <w:szCs w:val="24"/>
        </w:rPr>
        <w:t>ctivities Regulations 2018</w:t>
      </w:r>
    </w:p>
    <w:p w:rsidR="00B10694" w:rsidRDefault="00B10694" w:rsidP="00A46611">
      <w:pPr>
        <w:ind w:firstLine="720"/>
        <w:rPr>
          <w:rFonts w:cs="Arial"/>
          <w:b/>
          <w:sz w:val="24"/>
          <w:szCs w:val="24"/>
        </w:rPr>
      </w:pPr>
    </w:p>
    <w:p w:rsidR="004629B6" w:rsidRDefault="0062448F" w:rsidP="00A46611">
      <w:pPr>
        <w:ind w:left="720" w:hanging="720"/>
        <w:rPr>
          <w:rFonts w:cs="Arial"/>
          <w:sz w:val="24"/>
          <w:szCs w:val="24"/>
        </w:rPr>
      </w:pPr>
      <w:r>
        <w:rPr>
          <w:rFonts w:cs="Arial"/>
          <w:sz w:val="24"/>
          <w:szCs w:val="24"/>
        </w:rPr>
        <w:t>3.</w:t>
      </w:r>
      <w:r w:rsidR="002D1EF9">
        <w:rPr>
          <w:rFonts w:cs="Arial"/>
          <w:sz w:val="24"/>
          <w:szCs w:val="24"/>
        </w:rPr>
        <w:t>16</w:t>
      </w:r>
      <w:r w:rsidR="00F90201">
        <w:rPr>
          <w:rFonts w:cs="Arial"/>
          <w:sz w:val="24"/>
          <w:szCs w:val="24"/>
        </w:rPr>
        <w:tab/>
      </w:r>
      <w:r w:rsidR="0096729E" w:rsidRPr="0096729E">
        <w:rPr>
          <w:rFonts w:cs="Arial"/>
          <w:sz w:val="24"/>
          <w:szCs w:val="24"/>
        </w:rPr>
        <w:t>Under the Animal Welfare (Licensing of Activities Involving Animals) (England) Regulations 2018, local authorities are required to provide certain information annually to the Secretary of State for DEFRA. This includes the number of licences in force for each licensable activity in the local authority and the average level of fees it has charged for licences it has granted or renewed in each reporting period.</w:t>
      </w:r>
      <w:r w:rsidR="0096729E">
        <w:rPr>
          <w:rFonts w:cs="Arial"/>
          <w:sz w:val="24"/>
          <w:szCs w:val="24"/>
        </w:rPr>
        <w:t xml:space="preserve"> The annual return has been completed and returned to </w:t>
      </w:r>
      <w:proofErr w:type="gramStart"/>
      <w:r w:rsidR="0096729E">
        <w:rPr>
          <w:rFonts w:cs="Arial"/>
          <w:sz w:val="24"/>
          <w:szCs w:val="24"/>
        </w:rPr>
        <w:t>DEFRA .</w:t>
      </w:r>
      <w:proofErr w:type="gramEnd"/>
    </w:p>
    <w:p w:rsidR="004629B6" w:rsidRDefault="004629B6" w:rsidP="00A46611">
      <w:pPr>
        <w:ind w:left="720" w:hanging="720"/>
        <w:rPr>
          <w:rFonts w:cs="Arial"/>
          <w:sz w:val="24"/>
          <w:szCs w:val="24"/>
        </w:rPr>
      </w:pPr>
    </w:p>
    <w:p w:rsidR="00A902BE" w:rsidRDefault="0062448F" w:rsidP="00A46611">
      <w:pPr>
        <w:ind w:left="720" w:hanging="720"/>
        <w:rPr>
          <w:rFonts w:cs="Arial"/>
          <w:sz w:val="24"/>
          <w:szCs w:val="24"/>
        </w:rPr>
      </w:pPr>
      <w:r>
        <w:rPr>
          <w:rFonts w:cs="Arial"/>
          <w:sz w:val="24"/>
          <w:szCs w:val="24"/>
        </w:rPr>
        <w:t>3.</w:t>
      </w:r>
      <w:r w:rsidR="002D1EF9">
        <w:rPr>
          <w:rFonts w:cs="Arial"/>
          <w:sz w:val="24"/>
          <w:szCs w:val="24"/>
        </w:rPr>
        <w:t>17</w:t>
      </w:r>
      <w:r w:rsidR="00A902BE">
        <w:rPr>
          <w:rFonts w:cs="Arial"/>
          <w:sz w:val="24"/>
          <w:szCs w:val="24"/>
        </w:rPr>
        <w:tab/>
      </w:r>
      <w:r w:rsidR="00A451F0">
        <w:rPr>
          <w:rFonts w:cs="Arial"/>
          <w:sz w:val="24"/>
          <w:szCs w:val="24"/>
        </w:rPr>
        <w:t xml:space="preserve">We have received </w:t>
      </w:r>
      <w:r w:rsidR="00837F8D">
        <w:rPr>
          <w:rFonts w:cs="Arial"/>
          <w:sz w:val="24"/>
          <w:szCs w:val="24"/>
        </w:rPr>
        <w:t>one</w:t>
      </w:r>
      <w:r w:rsidR="00A451F0">
        <w:rPr>
          <w:rFonts w:cs="Arial"/>
          <w:sz w:val="24"/>
          <w:szCs w:val="24"/>
        </w:rPr>
        <w:t xml:space="preserve"> </w:t>
      </w:r>
      <w:r w:rsidR="002A4EC3">
        <w:rPr>
          <w:rFonts w:cs="Arial"/>
          <w:sz w:val="24"/>
          <w:szCs w:val="24"/>
        </w:rPr>
        <w:t>complaint</w:t>
      </w:r>
      <w:r w:rsidR="00A451F0">
        <w:rPr>
          <w:rFonts w:cs="Arial"/>
          <w:sz w:val="24"/>
          <w:szCs w:val="24"/>
        </w:rPr>
        <w:t xml:space="preserve"> about </w:t>
      </w:r>
      <w:r w:rsidR="00837F8D">
        <w:rPr>
          <w:rFonts w:cs="Arial"/>
          <w:sz w:val="24"/>
          <w:szCs w:val="24"/>
        </w:rPr>
        <w:t xml:space="preserve">welfare issues with one of the </w:t>
      </w:r>
      <w:r w:rsidR="00E61B55">
        <w:rPr>
          <w:rFonts w:cs="Arial"/>
          <w:sz w:val="24"/>
          <w:szCs w:val="24"/>
        </w:rPr>
        <w:t>licensed</w:t>
      </w:r>
      <w:r w:rsidR="00837F8D">
        <w:rPr>
          <w:rFonts w:cs="Arial"/>
          <w:sz w:val="24"/>
          <w:szCs w:val="24"/>
        </w:rPr>
        <w:t xml:space="preserve"> dog breeders. The case is currently being investigated.</w:t>
      </w:r>
    </w:p>
    <w:p w:rsidR="00A451F0" w:rsidRDefault="00A451F0" w:rsidP="00A46611">
      <w:pPr>
        <w:ind w:left="720" w:hanging="720"/>
        <w:rPr>
          <w:rFonts w:cs="Arial"/>
          <w:sz w:val="24"/>
          <w:szCs w:val="24"/>
        </w:rPr>
      </w:pPr>
    </w:p>
    <w:p w:rsidR="00A451F0" w:rsidRDefault="00A451F0" w:rsidP="00A46611">
      <w:pPr>
        <w:ind w:left="720" w:hanging="720"/>
        <w:rPr>
          <w:rFonts w:cs="Arial"/>
          <w:sz w:val="24"/>
          <w:szCs w:val="24"/>
        </w:rPr>
      </w:pPr>
      <w:r>
        <w:rPr>
          <w:rFonts w:cs="Arial"/>
          <w:sz w:val="24"/>
          <w:szCs w:val="24"/>
        </w:rPr>
        <w:tab/>
        <w:t xml:space="preserve"> </w:t>
      </w:r>
    </w:p>
    <w:p w:rsidR="00A451F0" w:rsidRDefault="002A4EC3" w:rsidP="00A46611">
      <w:pPr>
        <w:ind w:left="720" w:hanging="720"/>
        <w:rPr>
          <w:rFonts w:cs="Arial"/>
          <w:b/>
          <w:sz w:val="24"/>
          <w:szCs w:val="24"/>
        </w:rPr>
      </w:pPr>
      <w:r>
        <w:rPr>
          <w:rFonts w:cs="Arial"/>
          <w:sz w:val="24"/>
          <w:szCs w:val="24"/>
        </w:rPr>
        <w:t>3.18</w:t>
      </w:r>
      <w:r>
        <w:rPr>
          <w:rFonts w:cs="Arial"/>
          <w:sz w:val="24"/>
          <w:szCs w:val="24"/>
        </w:rPr>
        <w:tab/>
      </w:r>
      <w:r w:rsidRPr="002A4EC3">
        <w:rPr>
          <w:rFonts w:cs="Arial"/>
          <w:b/>
          <w:sz w:val="24"/>
          <w:szCs w:val="24"/>
        </w:rPr>
        <w:t>Scrap Metal</w:t>
      </w:r>
    </w:p>
    <w:p w:rsidR="002A4EC3" w:rsidRDefault="002A4EC3" w:rsidP="00A46611">
      <w:pPr>
        <w:ind w:left="720" w:hanging="720"/>
        <w:rPr>
          <w:rFonts w:cs="Arial"/>
          <w:sz w:val="24"/>
          <w:szCs w:val="24"/>
        </w:rPr>
      </w:pPr>
      <w:r>
        <w:rPr>
          <w:rFonts w:cs="Arial"/>
          <w:sz w:val="24"/>
          <w:szCs w:val="24"/>
        </w:rPr>
        <w:tab/>
      </w:r>
    </w:p>
    <w:p w:rsidR="002A4EC3" w:rsidRPr="002A4EC3" w:rsidRDefault="002A4EC3" w:rsidP="00A46611">
      <w:pPr>
        <w:ind w:left="720" w:hanging="720"/>
        <w:rPr>
          <w:rFonts w:cs="Arial"/>
          <w:b/>
          <w:sz w:val="24"/>
          <w:szCs w:val="24"/>
        </w:rPr>
      </w:pPr>
      <w:r>
        <w:rPr>
          <w:rFonts w:cs="Arial"/>
          <w:sz w:val="24"/>
          <w:szCs w:val="24"/>
        </w:rPr>
        <w:tab/>
      </w:r>
      <w:r w:rsidR="0047523E">
        <w:rPr>
          <w:rFonts w:cs="Arial"/>
          <w:sz w:val="24"/>
          <w:szCs w:val="24"/>
        </w:rPr>
        <w:t>We have received complaints that five sites are operating in the district without a site licence. Licensing is conducting a joint investigation with planning.</w:t>
      </w:r>
    </w:p>
    <w:p w:rsidR="00352DF4" w:rsidRDefault="00352DF4" w:rsidP="00A46611">
      <w:pPr>
        <w:rPr>
          <w:rFonts w:cs="Arial"/>
          <w:b/>
          <w:sz w:val="24"/>
          <w:szCs w:val="24"/>
        </w:rPr>
      </w:pPr>
    </w:p>
    <w:p w:rsidR="00262F01" w:rsidRDefault="00F90201" w:rsidP="00A46611">
      <w:pPr>
        <w:rPr>
          <w:rFonts w:cs="Arial"/>
          <w:b/>
          <w:sz w:val="24"/>
          <w:szCs w:val="24"/>
        </w:rPr>
      </w:pPr>
      <w:r>
        <w:rPr>
          <w:rFonts w:cs="Arial"/>
          <w:b/>
          <w:sz w:val="24"/>
          <w:szCs w:val="24"/>
        </w:rPr>
        <w:tab/>
        <w:t>Other L</w:t>
      </w:r>
      <w:r w:rsidR="00EE3CF8">
        <w:rPr>
          <w:rFonts w:cs="Arial"/>
          <w:b/>
          <w:sz w:val="24"/>
          <w:szCs w:val="24"/>
        </w:rPr>
        <w:t xml:space="preserve">icensing </w:t>
      </w:r>
    </w:p>
    <w:p w:rsidR="0062448F" w:rsidRPr="00F90201" w:rsidRDefault="0062448F" w:rsidP="00A46611">
      <w:pPr>
        <w:rPr>
          <w:rFonts w:cs="Arial"/>
          <w:b/>
          <w:sz w:val="24"/>
          <w:szCs w:val="24"/>
        </w:rPr>
      </w:pPr>
    </w:p>
    <w:p w:rsidR="00757CD3" w:rsidRPr="00757CD3" w:rsidRDefault="0062448F" w:rsidP="00757CD3">
      <w:pPr>
        <w:ind w:left="720" w:hanging="720"/>
        <w:rPr>
          <w:rFonts w:cs="Arial"/>
          <w:sz w:val="24"/>
          <w:szCs w:val="24"/>
        </w:rPr>
      </w:pPr>
      <w:r>
        <w:rPr>
          <w:rFonts w:cs="Arial"/>
          <w:sz w:val="24"/>
          <w:szCs w:val="24"/>
        </w:rPr>
        <w:t>3.</w:t>
      </w:r>
      <w:r w:rsidR="002D1EF9">
        <w:rPr>
          <w:rFonts w:cs="Arial"/>
          <w:sz w:val="24"/>
          <w:szCs w:val="24"/>
        </w:rPr>
        <w:t>1</w:t>
      </w:r>
      <w:r w:rsidR="00EE6A08">
        <w:rPr>
          <w:rFonts w:cs="Arial"/>
          <w:sz w:val="24"/>
          <w:szCs w:val="24"/>
        </w:rPr>
        <w:t>9</w:t>
      </w:r>
      <w:r w:rsidR="00F30000">
        <w:rPr>
          <w:rFonts w:cs="Arial"/>
          <w:sz w:val="24"/>
          <w:szCs w:val="24"/>
        </w:rPr>
        <w:tab/>
      </w:r>
      <w:r w:rsidR="00757CD3" w:rsidRPr="00757CD3">
        <w:rPr>
          <w:rFonts w:cs="Arial"/>
          <w:sz w:val="24"/>
          <w:szCs w:val="24"/>
        </w:rPr>
        <w:t xml:space="preserve">Pavement licensing is to be made permanent under plans announced in the 2022 Queen's speech.  The proposed Levelling up and Regeneration </w:t>
      </w:r>
      <w:proofErr w:type="gramStart"/>
      <w:r w:rsidR="00757CD3" w:rsidRPr="00757CD3">
        <w:rPr>
          <w:rFonts w:cs="Arial"/>
          <w:sz w:val="24"/>
          <w:szCs w:val="24"/>
        </w:rPr>
        <w:t>Bill "</w:t>
      </w:r>
      <w:proofErr w:type="gramEnd"/>
    </w:p>
    <w:p w:rsidR="00757CD3" w:rsidRPr="00757CD3" w:rsidRDefault="00757CD3" w:rsidP="00757CD3">
      <w:pPr>
        <w:ind w:left="720"/>
        <w:rPr>
          <w:rFonts w:cs="Arial"/>
          <w:sz w:val="24"/>
          <w:szCs w:val="24"/>
        </w:rPr>
      </w:pPr>
      <w:proofErr w:type="gramStart"/>
      <w:r w:rsidRPr="00757CD3">
        <w:rPr>
          <w:rFonts w:cs="Arial"/>
          <w:sz w:val="24"/>
          <w:szCs w:val="24"/>
        </w:rPr>
        <w:t>will</w:t>
      </w:r>
      <w:proofErr w:type="gramEnd"/>
      <w:r w:rsidRPr="00757CD3">
        <w:rPr>
          <w:rFonts w:cs="Arial"/>
          <w:sz w:val="24"/>
          <w:szCs w:val="24"/>
        </w:rPr>
        <w:t xml:space="preserve"> provide local leaders with the powers they need to revitalise town centres."</w:t>
      </w:r>
    </w:p>
    <w:p w:rsidR="00757CD3" w:rsidRPr="00757CD3" w:rsidRDefault="00757CD3" w:rsidP="00757CD3">
      <w:pPr>
        <w:ind w:left="720" w:hanging="720"/>
        <w:rPr>
          <w:rFonts w:cs="Arial"/>
          <w:sz w:val="24"/>
          <w:szCs w:val="24"/>
        </w:rPr>
      </w:pPr>
    </w:p>
    <w:p w:rsidR="00757CD3" w:rsidRPr="00757CD3" w:rsidRDefault="00757CD3" w:rsidP="00757CD3">
      <w:pPr>
        <w:ind w:left="720"/>
        <w:rPr>
          <w:rFonts w:cs="Arial"/>
          <w:sz w:val="24"/>
          <w:szCs w:val="24"/>
        </w:rPr>
      </w:pPr>
      <w:r w:rsidRPr="00757CD3">
        <w:rPr>
          <w:rFonts w:cs="Arial"/>
          <w:sz w:val="24"/>
          <w:szCs w:val="24"/>
        </w:rPr>
        <w:t xml:space="preserve">The Government said: "During the pandemic, restaurants, pubs and bars were granted temporary powers to serve guests on pavements, </w:t>
      </w:r>
      <w:r w:rsidRPr="00757CD3">
        <w:rPr>
          <w:rFonts w:cs="Arial"/>
          <w:sz w:val="24"/>
          <w:szCs w:val="24"/>
        </w:rPr>
        <w:lastRenderedPageBreak/>
        <w:t xml:space="preserve">helping to mitigate lost </w:t>
      </w:r>
      <w:r w:rsidR="00E61B55" w:rsidRPr="00757CD3">
        <w:rPr>
          <w:rFonts w:cs="Arial"/>
          <w:sz w:val="24"/>
          <w:szCs w:val="24"/>
        </w:rPr>
        <w:t>floor space</w:t>
      </w:r>
      <w:r w:rsidRPr="00757CD3">
        <w:rPr>
          <w:rFonts w:cs="Arial"/>
          <w:sz w:val="24"/>
          <w:szCs w:val="24"/>
        </w:rPr>
        <w:t xml:space="preserve"> for tables due to social distancing requirements.</w:t>
      </w:r>
    </w:p>
    <w:p w:rsidR="00757CD3" w:rsidRPr="00757CD3" w:rsidRDefault="00757CD3" w:rsidP="00757CD3">
      <w:pPr>
        <w:ind w:left="720" w:hanging="720"/>
        <w:rPr>
          <w:rFonts w:cs="Arial"/>
          <w:sz w:val="24"/>
          <w:szCs w:val="24"/>
        </w:rPr>
      </w:pPr>
    </w:p>
    <w:p w:rsidR="00757CD3" w:rsidRPr="00757CD3" w:rsidRDefault="00757CD3" w:rsidP="00757CD3">
      <w:pPr>
        <w:ind w:left="720"/>
        <w:rPr>
          <w:rFonts w:cs="Arial"/>
          <w:sz w:val="24"/>
          <w:szCs w:val="24"/>
        </w:rPr>
      </w:pPr>
      <w:r w:rsidRPr="00757CD3">
        <w:rPr>
          <w:rFonts w:cs="Arial"/>
          <w:sz w:val="24"/>
          <w:szCs w:val="24"/>
        </w:rPr>
        <w:t>"Through new legislation, these powers will be made permanent to expand capacity for businesses to boost local economies and inject life into local communities."</w:t>
      </w:r>
    </w:p>
    <w:p w:rsidR="00757CD3" w:rsidRPr="00757CD3" w:rsidRDefault="00757CD3" w:rsidP="00757CD3">
      <w:pPr>
        <w:ind w:left="720" w:hanging="720"/>
        <w:rPr>
          <w:rFonts w:cs="Arial"/>
          <w:sz w:val="24"/>
          <w:szCs w:val="24"/>
        </w:rPr>
      </w:pPr>
    </w:p>
    <w:p w:rsidR="00262F01" w:rsidRDefault="00757CD3" w:rsidP="00757CD3">
      <w:pPr>
        <w:ind w:left="720"/>
        <w:rPr>
          <w:rFonts w:cs="Arial"/>
          <w:sz w:val="24"/>
          <w:szCs w:val="24"/>
        </w:rPr>
      </w:pPr>
      <w:r w:rsidRPr="00757CD3">
        <w:rPr>
          <w:rFonts w:cs="Arial"/>
          <w:sz w:val="24"/>
          <w:szCs w:val="24"/>
        </w:rPr>
        <w:t>Clause 184 of the Bill introduce provisions for making pavement licensing permanent.  Schedule 17 amends the Business and Planning Act 2020 including introducing a "relevant amount" of £350 for existing consents and £500 for new applications.</w:t>
      </w:r>
    </w:p>
    <w:p w:rsidR="006F5F7E" w:rsidRDefault="006F5F7E" w:rsidP="00820019">
      <w:pPr>
        <w:ind w:left="720" w:hanging="720"/>
        <w:rPr>
          <w:rFonts w:cs="Arial"/>
          <w:sz w:val="24"/>
          <w:szCs w:val="24"/>
        </w:rPr>
      </w:pPr>
    </w:p>
    <w:p w:rsidR="006F5F7E" w:rsidRPr="006F5F7E" w:rsidRDefault="006F5F7E" w:rsidP="006F5F7E">
      <w:pPr>
        <w:ind w:left="720" w:hanging="720"/>
        <w:rPr>
          <w:rFonts w:cs="Arial"/>
        </w:rPr>
      </w:pPr>
      <w:r>
        <w:rPr>
          <w:rFonts w:cs="Arial"/>
          <w:sz w:val="24"/>
          <w:szCs w:val="24"/>
        </w:rPr>
        <w:t>3.</w:t>
      </w:r>
      <w:r w:rsidR="00EE6A08">
        <w:rPr>
          <w:rFonts w:cs="Arial"/>
          <w:sz w:val="24"/>
          <w:szCs w:val="24"/>
        </w:rPr>
        <w:t>20</w:t>
      </w:r>
      <w:r>
        <w:rPr>
          <w:rFonts w:cs="Arial"/>
          <w:sz w:val="24"/>
          <w:szCs w:val="24"/>
        </w:rPr>
        <w:t xml:space="preserve">  </w:t>
      </w:r>
      <w:r w:rsidR="002D1EF9">
        <w:rPr>
          <w:rFonts w:cs="Arial"/>
          <w:sz w:val="24"/>
          <w:szCs w:val="24"/>
        </w:rPr>
        <w:t xml:space="preserve">  </w:t>
      </w:r>
      <w:r w:rsidR="00EE6A08">
        <w:rPr>
          <w:rFonts w:cs="Arial"/>
          <w:sz w:val="24"/>
          <w:szCs w:val="24"/>
        </w:rPr>
        <w:t xml:space="preserve">There is guidance </w:t>
      </w:r>
      <w:r w:rsidR="00E61B55">
        <w:rPr>
          <w:rFonts w:cs="Arial"/>
          <w:sz w:val="24"/>
          <w:szCs w:val="24"/>
        </w:rPr>
        <w:t>that sets</w:t>
      </w:r>
      <w:r w:rsidRPr="006F5F7E">
        <w:rPr>
          <w:rFonts w:cs="Arial"/>
        </w:rPr>
        <w:t xml:space="preserve"> out a National Combating Drugs Outcomes Framework, which will provide a single mechanism for monitoring progress across central government and in local areas towards delivery of the commitments and ambitions of the 10-year drugs strategy to level up the country.</w:t>
      </w:r>
    </w:p>
    <w:p w:rsidR="006F5F7E" w:rsidRPr="006F5F7E" w:rsidRDefault="006F5F7E" w:rsidP="00645FFA">
      <w:pPr>
        <w:ind w:left="720"/>
        <w:rPr>
          <w:rFonts w:cs="Arial"/>
          <w:sz w:val="24"/>
          <w:szCs w:val="24"/>
        </w:rPr>
      </w:pPr>
      <w:r w:rsidRPr="006F5F7E">
        <w:rPr>
          <w:rFonts w:cs="Arial"/>
          <w:sz w:val="24"/>
          <w:szCs w:val="24"/>
        </w:rPr>
        <w:t>The outcomes and metrics included in the framework aim to provide a link between action and the impact experienced by individuals, families and neighbourhoods across the country.</w:t>
      </w:r>
    </w:p>
    <w:p w:rsidR="006F5F7E" w:rsidRPr="006F5F7E" w:rsidRDefault="006F5F7E" w:rsidP="00645FFA">
      <w:pPr>
        <w:ind w:left="720"/>
        <w:rPr>
          <w:rFonts w:cs="Arial"/>
          <w:sz w:val="24"/>
          <w:szCs w:val="24"/>
        </w:rPr>
      </w:pPr>
      <w:r w:rsidRPr="006F5F7E">
        <w:rPr>
          <w:rFonts w:cs="Arial"/>
          <w:sz w:val="24"/>
          <w:szCs w:val="24"/>
        </w:rPr>
        <w:t>Working in partnership is essential to deliver the 3 strategic priorities set out in the 10-year drugs strategy:</w:t>
      </w:r>
    </w:p>
    <w:p w:rsidR="006F5F7E" w:rsidRPr="006F5F7E" w:rsidRDefault="006F5F7E" w:rsidP="006F5F7E">
      <w:pPr>
        <w:numPr>
          <w:ilvl w:val="0"/>
          <w:numId w:val="7"/>
        </w:numPr>
        <w:tabs>
          <w:tab w:val="clear" w:pos="1080"/>
          <w:tab w:val="num" w:pos="720"/>
        </w:tabs>
        <w:rPr>
          <w:rFonts w:cs="Arial"/>
          <w:sz w:val="24"/>
          <w:szCs w:val="24"/>
        </w:rPr>
      </w:pPr>
      <w:r w:rsidRPr="006F5F7E">
        <w:rPr>
          <w:rFonts w:cs="Arial"/>
          <w:sz w:val="24"/>
          <w:szCs w:val="24"/>
        </w:rPr>
        <w:t>breaking drug supply chains</w:t>
      </w:r>
    </w:p>
    <w:p w:rsidR="006F5F7E" w:rsidRPr="006F5F7E" w:rsidRDefault="006F5F7E" w:rsidP="006F5F7E">
      <w:pPr>
        <w:numPr>
          <w:ilvl w:val="0"/>
          <w:numId w:val="7"/>
        </w:numPr>
        <w:tabs>
          <w:tab w:val="clear" w:pos="1080"/>
          <w:tab w:val="num" w:pos="720"/>
        </w:tabs>
        <w:rPr>
          <w:rFonts w:cs="Arial"/>
          <w:sz w:val="24"/>
          <w:szCs w:val="24"/>
        </w:rPr>
      </w:pPr>
      <w:r w:rsidRPr="006F5F7E">
        <w:rPr>
          <w:rFonts w:cs="Arial"/>
          <w:sz w:val="24"/>
          <w:szCs w:val="24"/>
        </w:rPr>
        <w:t>delivering a world-class treatment and recovery system</w:t>
      </w:r>
    </w:p>
    <w:p w:rsidR="006F5F7E" w:rsidRPr="006F5F7E" w:rsidRDefault="006F5F7E" w:rsidP="006F5F7E">
      <w:pPr>
        <w:numPr>
          <w:ilvl w:val="0"/>
          <w:numId w:val="7"/>
        </w:numPr>
        <w:tabs>
          <w:tab w:val="clear" w:pos="1080"/>
          <w:tab w:val="num" w:pos="720"/>
        </w:tabs>
        <w:rPr>
          <w:rFonts w:cs="Arial"/>
          <w:sz w:val="24"/>
          <w:szCs w:val="24"/>
        </w:rPr>
      </w:pPr>
      <w:r w:rsidRPr="006F5F7E">
        <w:rPr>
          <w:rFonts w:cs="Arial"/>
          <w:sz w:val="24"/>
          <w:szCs w:val="24"/>
        </w:rPr>
        <w:t>achieving a shift in the demand for drugs</w:t>
      </w:r>
    </w:p>
    <w:p w:rsidR="006F5F7E" w:rsidRPr="006F5F7E" w:rsidRDefault="006F5F7E" w:rsidP="00645FFA">
      <w:pPr>
        <w:ind w:left="720"/>
        <w:rPr>
          <w:rFonts w:cs="Arial"/>
          <w:sz w:val="24"/>
          <w:szCs w:val="24"/>
        </w:rPr>
      </w:pPr>
      <w:r w:rsidRPr="006F5F7E">
        <w:rPr>
          <w:rFonts w:cs="Arial"/>
          <w:sz w:val="24"/>
          <w:szCs w:val="24"/>
        </w:rPr>
        <w:t>The guidance identifies key principles and structures to support the formation of effective partnerships and asks local areas to:</w:t>
      </w:r>
    </w:p>
    <w:p w:rsidR="006F5F7E" w:rsidRPr="006F5F7E" w:rsidRDefault="006F5F7E" w:rsidP="006F5F7E">
      <w:pPr>
        <w:numPr>
          <w:ilvl w:val="0"/>
          <w:numId w:val="8"/>
        </w:numPr>
        <w:tabs>
          <w:tab w:val="num" w:pos="720"/>
        </w:tabs>
        <w:rPr>
          <w:rFonts w:cs="Arial"/>
          <w:sz w:val="24"/>
          <w:szCs w:val="24"/>
        </w:rPr>
      </w:pPr>
      <w:r w:rsidRPr="006F5F7E">
        <w:rPr>
          <w:rFonts w:cs="Arial"/>
          <w:sz w:val="24"/>
          <w:szCs w:val="24"/>
        </w:rPr>
        <w:t>form a clearly defined partnership structure based on a geographical extent that is logical to local residents and consistent with existing relevant arrangements</w:t>
      </w:r>
    </w:p>
    <w:p w:rsidR="006F5F7E" w:rsidRPr="006F5F7E" w:rsidRDefault="006F5F7E" w:rsidP="006F5F7E">
      <w:pPr>
        <w:numPr>
          <w:ilvl w:val="0"/>
          <w:numId w:val="8"/>
        </w:numPr>
        <w:tabs>
          <w:tab w:val="num" w:pos="720"/>
        </w:tabs>
        <w:rPr>
          <w:rFonts w:cs="Arial"/>
          <w:sz w:val="24"/>
          <w:szCs w:val="24"/>
        </w:rPr>
      </w:pPr>
      <w:r w:rsidRPr="006F5F7E">
        <w:rPr>
          <w:rFonts w:cs="Arial"/>
          <w:sz w:val="24"/>
          <w:szCs w:val="24"/>
        </w:rPr>
        <w:lastRenderedPageBreak/>
        <w:t>select a senior responsible owner (SRO) who can represent the partnership nationally, reporting to central government for its performance, and who can offer challenge and support to local partners to drive improvement and unblock issues when necessary</w:t>
      </w:r>
    </w:p>
    <w:p w:rsidR="006F5F7E" w:rsidRPr="006F5F7E" w:rsidRDefault="006F5F7E" w:rsidP="006F5F7E">
      <w:pPr>
        <w:numPr>
          <w:ilvl w:val="0"/>
          <w:numId w:val="8"/>
        </w:numPr>
        <w:tabs>
          <w:tab w:val="num" w:pos="720"/>
        </w:tabs>
        <w:rPr>
          <w:rFonts w:cs="Arial"/>
          <w:sz w:val="24"/>
          <w:szCs w:val="24"/>
        </w:rPr>
      </w:pPr>
      <w:r w:rsidRPr="006F5F7E">
        <w:rPr>
          <w:rFonts w:cs="Arial"/>
          <w:sz w:val="24"/>
          <w:szCs w:val="24"/>
        </w:rPr>
        <w:t>involve all those people and organisations affected by drugs in developing joint solutions to these issues</w:t>
      </w:r>
    </w:p>
    <w:p w:rsidR="006F5F7E" w:rsidRDefault="00872762" w:rsidP="00645FFA">
      <w:pPr>
        <w:ind w:left="720"/>
        <w:rPr>
          <w:rFonts w:cs="Arial"/>
          <w:sz w:val="24"/>
          <w:szCs w:val="24"/>
        </w:rPr>
      </w:pPr>
      <w:hyperlink r:id="rId11" w:history="1">
        <w:r w:rsidR="00820019" w:rsidRPr="00674F30">
          <w:rPr>
            <w:rStyle w:val="Hyperlink"/>
            <w:rFonts w:cs="Arial"/>
            <w:sz w:val="24"/>
            <w:szCs w:val="24"/>
          </w:rPr>
          <w:t>https://assets.publishing.service.gov.uk/government/uploads/system/uploads/attachment_data/file/1083170/Guidance_for_local_delivery_partners_FINAL.pdf</w:t>
        </w:r>
      </w:hyperlink>
    </w:p>
    <w:p w:rsidR="00820019" w:rsidRDefault="00820019" w:rsidP="00645FFA">
      <w:pPr>
        <w:ind w:left="720"/>
        <w:rPr>
          <w:rFonts w:cs="Arial"/>
          <w:sz w:val="24"/>
          <w:szCs w:val="24"/>
        </w:rPr>
      </w:pPr>
    </w:p>
    <w:p w:rsidR="00820019" w:rsidRPr="00820019" w:rsidRDefault="00EE6A08" w:rsidP="002D1EF9">
      <w:pPr>
        <w:ind w:left="567" w:hanging="567"/>
        <w:rPr>
          <w:rFonts w:cs="Arial"/>
        </w:rPr>
      </w:pPr>
      <w:r>
        <w:rPr>
          <w:rFonts w:cs="Arial"/>
          <w:sz w:val="24"/>
          <w:szCs w:val="24"/>
        </w:rPr>
        <w:t>3.21</w:t>
      </w:r>
      <w:r w:rsidR="00820019">
        <w:rPr>
          <w:rFonts w:cs="Arial"/>
          <w:sz w:val="24"/>
          <w:szCs w:val="24"/>
        </w:rPr>
        <w:t xml:space="preserve"> </w:t>
      </w:r>
      <w:r w:rsidR="00820019" w:rsidRPr="00820019">
        <w:rPr>
          <w:rFonts w:cs="Arial"/>
        </w:rPr>
        <w:t>Public Health Scotland (PHS) today published the final report from a study which evaluated the impact of Minimum Unit Pricing (MUP) on people who drink alcohol at harmful levels, including those dependent on alcohol and those accessing treatment services.</w:t>
      </w:r>
    </w:p>
    <w:p w:rsidR="00820019" w:rsidRDefault="00820019" w:rsidP="002D1EF9">
      <w:pPr>
        <w:tabs>
          <w:tab w:val="left" w:pos="567"/>
        </w:tabs>
        <w:ind w:left="567"/>
        <w:rPr>
          <w:rFonts w:cs="Arial"/>
          <w:sz w:val="24"/>
          <w:szCs w:val="24"/>
        </w:rPr>
      </w:pPr>
      <w:r w:rsidRPr="00820019">
        <w:rPr>
          <w:rFonts w:cs="Arial"/>
          <w:sz w:val="24"/>
          <w:szCs w:val="24"/>
        </w:rPr>
        <w:t>The University of Sheffield, the University of Newcastle (Australia) and Figure 8 Consultancy Services carried out the wide-ranging study to understand how this important, yet hard-to-reach population responded to MUP. A large programme of mixed-methods research was used to examine impacts on alcohol purchasing and consumption, other positive and negative effects of the policy, and the impact on key groups, such as family members or those living in remote or rural areas.</w:t>
      </w:r>
      <w:r w:rsidRPr="00820019">
        <w:rPr>
          <w:rFonts w:cs="Arial"/>
          <w:sz w:val="24"/>
          <w:szCs w:val="24"/>
        </w:rPr>
        <w:br/>
      </w:r>
      <w:r w:rsidRPr="00820019">
        <w:rPr>
          <w:rFonts w:cs="Arial"/>
          <w:sz w:val="24"/>
          <w:szCs w:val="24"/>
        </w:rPr>
        <w:br/>
        <w:t>Among those drinking at harmful levels or people with alcohol dependence, the study found no clear evidence of a change in consumption or severity of dependence. Findings also showed that some economically vulnerable groups experienced increased financial strain as the price rises meant they were spending more on alcohol. This led some people who were dependent on alcohol to reduce other expenditure, such as that on food and utilities.</w:t>
      </w:r>
      <w:r w:rsidRPr="00820019">
        <w:rPr>
          <w:rFonts w:cs="Arial"/>
          <w:sz w:val="24"/>
          <w:szCs w:val="24"/>
        </w:rPr>
        <w:br/>
      </w:r>
      <w:r w:rsidRPr="00820019">
        <w:rPr>
          <w:rFonts w:cs="Arial"/>
          <w:sz w:val="24"/>
          <w:szCs w:val="24"/>
        </w:rPr>
        <w:br/>
      </w:r>
      <w:r w:rsidRPr="00820019">
        <w:rPr>
          <w:rFonts w:cs="Arial"/>
          <w:sz w:val="24"/>
          <w:szCs w:val="24"/>
        </w:rPr>
        <w:lastRenderedPageBreak/>
        <w:t>There was little evidence found of other negative consequences in this population following the introduction of MUP, such as increased crime, a shift to the use of illicit substances or acute withdrawal. People with alcohol dependence were also found to have a limited awareness and understanding of MUP and reported receiving little information or support before its introduction.</w:t>
      </w:r>
    </w:p>
    <w:p w:rsidR="00757CD3" w:rsidRDefault="00757CD3" w:rsidP="00820019">
      <w:pPr>
        <w:ind w:left="720"/>
        <w:rPr>
          <w:rFonts w:cs="Arial"/>
          <w:sz w:val="24"/>
          <w:szCs w:val="24"/>
        </w:rPr>
      </w:pPr>
    </w:p>
    <w:p w:rsidR="00757CD3" w:rsidRPr="00757CD3" w:rsidRDefault="002D1EF9" w:rsidP="00EE6A08">
      <w:pPr>
        <w:ind w:left="426" w:hanging="720"/>
        <w:rPr>
          <w:rFonts w:cs="Arial"/>
          <w:sz w:val="24"/>
          <w:szCs w:val="24"/>
        </w:rPr>
      </w:pPr>
      <w:r>
        <w:rPr>
          <w:rFonts w:cs="Arial"/>
          <w:sz w:val="24"/>
          <w:szCs w:val="24"/>
        </w:rPr>
        <w:t>3.21</w:t>
      </w:r>
      <w:r w:rsidR="00757CD3">
        <w:rPr>
          <w:rFonts w:cs="Arial"/>
          <w:sz w:val="24"/>
          <w:szCs w:val="24"/>
        </w:rPr>
        <w:tab/>
        <w:t>T</w:t>
      </w:r>
      <w:r w:rsidR="00757CD3" w:rsidRPr="00757CD3">
        <w:rPr>
          <w:rFonts w:cs="Arial"/>
          <w:sz w:val="24"/>
          <w:szCs w:val="24"/>
        </w:rPr>
        <w:t xml:space="preserve">he House of Commons Committee report on spiking has been reported with recommendations to </w:t>
      </w:r>
      <w:r w:rsidR="00E61B55" w:rsidRPr="00757CD3">
        <w:rPr>
          <w:rFonts w:cs="Arial"/>
          <w:sz w:val="24"/>
          <w:szCs w:val="24"/>
        </w:rPr>
        <w:t>government. Amongst</w:t>
      </w:r>
      <w:r w:rsidR="00757CD3" w:rsidRPr="00757CD3">
        <w:rPr>
          <w:rFonts w:cs="Arial"/>
          <w:sz w:val="24"/>
          <w:szCs w:val="24"/>
        </w:rPr>
        <w:t xml:space="preserve"> other things, the report found that:</w:t>
      </w:r>
    </w:p>
    <w:p w:rsidR="00757CD3" w:rsidRPr="00757CD3" w:rsidRDefault="00757CD3" w:rsidP="00757CD3">
      <w:pPr>
        <w:rPr>
          <w:rFonts w:cs="Arial"/>
          <w:sz w:val="24"/>
          <w:szCs w:val="24"/>
        </w:rPr>
      </w:pPr>
    </w:p>
    <w:p w:rsidR="00757CD3" w:rsidRPr="00757CD3" w:rsidRDefault="00757CD3" w:rsidP="002D1EF9">
      <w:pPr>
        <w:ind w:left="426"/>
        <w:rPr>
          <w:rFonts w:cs="Arial"/>
          <w:sz w:val="24"/>
          <w:szCs w:val="24"/>
        </w:rPr>
      </w:pPr>
      <w:r w:rsidRPr="00757CD3">
        <w:rPr>
          <w:rFonts w:cs="Arial"/>
          <w:sz w:val="24"/>
          <w:szCs w:val="24"/>
        </w:rPr>
        <w:t>"</w:t>
      </w:r>
      <w:proofErr w:type="gramStart"/>
      <w:r w:rsidRPr="00757CD3">
        <w:rPr>
          <w:rFonts w:cs="Arial"/>
          <w:sz w:val="24"/>
          <w:szCs w:val="24"/>
        </w:rPr>
        <w:t>licensing</w:t>
      </w:r>
      <w:proofErr w:type="gramEnd"/>
      <w:r w:rsidRPr="00757CD3">
        <w:rPr>
          <w:rFonts w:cs="Arial"/>
          <w:sz w:val="24"/>
          <w:szCs w:val="24"/>
        </w:rPr>
        <w:t xml:space="preserve"> authorities, councils play an important role in regulating the night-time economy. Licensing authorities have a range of powers to tackle premises causing</w:t>
      </w:r>
    </w:p>
    <w:p w:rsidR="00757CD3" w:rsidRPr="00757CD3" w:rsidRDefault="00757CD3" w:rsidP="002D1EF9">
      <w:pPr>
        <w:ind w:firstLine="426"/>
        <w:rPr>
          <w:rFonts w:cs="Arial"/>
          <w:sz w:val="24"/>
          <w:szCs w:val="24"/>
        </w:rPr>
      </w:pPr>
      <w:proofErr w:type="gramStart"/>
      <w:r w:rsidRPr="00757CD3">
        <w:rPr>
          <w:rFonts w:cs="Arial"/>
          <w:sz w:val="24"/>
          <w:szCs w:val="24"/>
        </w:rPr>
        <w:t>problems</w:t>
      </w:r>
      <w:proofErr w:type="gramEnd"/>
      <w:r w:rsidRPr="00757CD3">
        <w:rPr>
          <w:rFonts w:cs="Arial"/>
          <w:sz w:val="24"/>
          <w:szCs w:val="24"/>
        </w:rPr>
        <w:t xml:space="preserve"> under the Anti-social Behaviour, Crime and Policing Act 2014:</w:t>
      </w:r>
    </w:p>
    <w:p w:rsidR="00757CD3" w:rsidRPr="00757CD3" w:rsidRDefault="00757CD3" w:rsidP="00757CD3">
      <w:pPr>
        <w:rPr>
          <w:rFonts w:cs="Arial"/>
          <w:sz w:val="24"/>
          <w:szCs w:val="24"/>
        </w:rPr>
      </w:pPr>
    </w:p>
    <w:p w:rsidR="00757CD3" w:rsidRPr="00757CD3" w:rsidRDefault="00757CD3" w:rsidP="002D1EF9">
      <w:pPr>
        <w:ind w:left="426"/>
        <w:rPr>
          <w:rFonts w:cs="Arial"/>
          <w:sz w:val="24"/>
          <w:szCs w:val="24"/>
        </w:rPr>
      </w:pPr>
      <w:r w:rsidRPr="00757CD3">
        <w:rPr>
          <w:rFonts w:cs="Arial"/>
          <w:sz w:val="24"/>
          <w:szCs w:val="24"/>
        </w:rPr>
        <w:t xml:space="preserve"> Conditions: As well as mandatory conditions set out in the Licensing Act, authorities can add ‘voluntary’ conditions to a licence, such as installation of CCTV or imposition of noise limits.</w:t>
      </w:r>
    </w:p>
    <w:p w:rsidR="00757CD3" w:rsidRPr="00757CD3" w:rsidRDefault="00757CD3" w:rsidP="00757CD3">
      <w:pPr>
        <w:rPr>
          <w:rFonts w:cs="Arial"/>
          <w:sz w:val="24"/>
          <w:szCs w:val="24"/>
        </w:rPr>
      </w:pPr>
    </w:p>
    <w:p w:rsidR="00757CD3" w:rsidRPr="00757CD3" w:rsidRDefault="00757CD3" w:rsidP="009813D7">
      <w:pPr>
        <w:ind w:left="426"/>
        <w:rPr>
          <w:rFonts w:cs="Arial"/>
          <w:sz w:val="24"/>
          <w:szCs w:val="24"/>
        </w:rPr>
      </w:pPr>
      <w:r w:rsidRPr="00757CD3">
        <w:rPr>
          <w:rFonts w:cs="Arial"/>
          <w:sz w:val="24"/>
          <w:szCs w:val="24"/>
        </w:rPr>
        <w:t>Licence reviews: Where there is a failure to respond to warnings or where concerns are particularly serious, licensing authorities can modify or add conditions, remove the Designated Premises Supervisor, suspend all or any of the licensable activities for up to three months, or revoke the licence.</w:t>
      </w:r>
    </w:p>
    <w:p w:rsidR="00757CD3" w:rsidRPr="00757CD3" w:rsidRDefault="00757CD3" w:rsidP="00757CD3">
      <w:pPr>
        <w:rPr>
          <w:rFonts w:cs="Arial"/>
          <w:sz w:val="24"/>
          <w:szCs w:val="24"/>
        </w:rPr>
      </w:pPr>
    </w:p>
    <w:p w:rsidR="00757CD3" w:rsidRPr="00757CD3" w:rsidRDefault="009813D7" w:rsidP="009813D7">
      <w:pPr>
        <w:ind w:firstLine="426"/>
        <w:rPr>
          <w:rFonts w:cs="Arial"/>
          <w:sz w:val="24"/>
          <w:szCs w:val="24"/>
        </w:rPr>
      </w:pPr>
      <w:r>
        <w:rPr>
          <w:rFonts w:cs="Arial"/>
          <w:sz w:val="24"/>
          <w:szCs w:val="24"/>
        </w:rPr>
        <w:t>C</w:t>
      </w:r>
      <w:r w:rsidR="00757CD3" w:rsidRPr="00757CD3">
        <w:rPr>
          <w:rFonts w:cs="Arial"/>
          <w:sz w:val="24"/>
          <w:szCs w:val="24"/>
        </w:rPr>
        <w:t>losure powers: These may be sought where necessary to prevent disorder."</w:t>
      </w:r>
    </w:p>
    <w:p w:rsidR="00757CD3" w:rsidRPr="00757CD3" w:rsidRDefault="00757CD3" w:rsidP="00757CD3">
      <w:pPr>
        <w:rPr>
          <w:rFonts w:cs="Arial"/>
          <w:sz w:val="24"/>
          <w:szCs w:val="24"/>
        </w:rPr>
      </w:pPr>
    </w:p>
    <w:p w:rsidR="00757CD3" w:rsidRPr="00757CD3" w:rsidRDefault="00757CD3" w:rsidP="009813D7">
      <w:pPr>
        <w:ind w:left="426"/>
        <w:rPr>
          <w:rFonts w:cs="Arial"/>
          <w:sz w:val="24"/>
          <w:szCs w:val="24"/>
        </w:rPr>
      </w:pPr>
      <w:r w:rsidRPr="00757CD3">
        <w:rPr>
          <w:rFonts w:cs="Arial"/>
          <w:sz w:val="24"/>
          <w:szCs w:val="24"/>
        </w:rPr>
        <w:t xml:space="preserve">"There is limited data on the extent to which licensing authorities use these options. The Home Office collect statistics on reviews and revocations, but </w:t>
      </w:r>
      <w:r w:rsidRPr="00757CD3">
        <w:rPr>
          <w:rFonts w:cs="Arial"/>
          <w:sz w:val="24"/>
          <w:szCs w:val="24"/>
        </w:rPr>
        <w:lastRenderedPageBreak/>
        <w:t>not on use of conditions, and the data are out of date as they have been paused during the Covid pandemic.</w:t>
      </w:r>
    </w:p>
    <w:p w:rsidR="00757CD3" w:rsidRPr="00757CD3" w:rsidRDefault="00757CD3" w:rsidP="00757CD3">
      <w:pPr>
        <w:rPr>
          <w:rFonts w:cs="Arial"/>
          <w:sz w:val="24"/>
          <w:szCs w:val="24"/>
        </w:rPr>
      </w:pPr>
    </w:p>
    <w:p w:rsidR="00757CD3" w:rsidRPr="00757CD3" w:rsidRDefault="00757CD3" w:rsidP="009813D7">
      <w:pPr>
        <w:ind w:left="426"/>
        <w:rPr>
          <w:rFonts w:cs="Arial"/>
          <w:sz w:val="24"/>
          <w:szCs w:val="24"/>
        </w:rPr>
      </w:pPr>
      <w:r w:rsidRPr="00757CD3">
        <w:rPr>
          <w:rFonts w:cs="Arial"/>
          <w:sz w:val="24"/>
          <w:szCs w:val="24"/>
        </w:rPr>
        <w:t>"Available statistics show that reviews are rare. In the year to 31 March 2018 (the latest for which statistics are available), there were 212,800 premises licences in England and Wales and 600 licensing reviews were carried out. Where action was taken following a completed review, 212 licenses were revoked, or a club premises certificate withdrawn. In specific relation to spiking, in November 2021, Tunbridge Wells Borough Council suspended the licence of one local premises after the police shared evidence of multiple drink spiking reports at the venue."</w:t>
      </w:r>
    </w:p>
    <w:p w:rsidR="00757CD3" w:rsidRPr="00757CD3" w:rsidRDefault="00757CD3" w:rsidP="00757CD3">
      <w:pPr>
        <w:rPr>
          <w:rFonts w:cs="Arial"/>
          <w:sz w:val="24"/>
          <w:szCs w:val="24"/>
        </w:rPr>
      </w:pPr>
    </w:p>
    <w:p w:rsidR="00757CD3" w:rsidRPr="00757CD3" w:rsidRDefault="00757CD3" w:rsidP="009813D7">
      <w:pPr>
        <w:ind w:firstLine="426"/>
        <w:rPr>
          <w:rFonts w:cs="Arial"/>
          <w:sz w:val="24"/>
          <w:szCs w:val="24"/>
        </w:rPr>
      </w:pPr>
      <w:r w:rsidRPr="00757CD3">
        <w:rPr>
          <w:rFonts w:cs="Arial"/>
          <w:sz w:val="24"/>
          <w:szCs w:val="24"/>
        </w:rPr>
        <w:t>The Select Committee also said:</w:t>
      </w:r>
    </w:p>
    <w:p w:rsidR="00757CD3" w:rsidRPr="00757CD3" w:rsidRDefault="00757CD3" w:rsidP="00757CD3">
      <w:pPr>
        <w:rPr>
          <w:rFonts w:cs="Arial"/>
          <w:sz w:val="24"/>
          <w:szCs w:val="24"/>
        </w:rPr>
      </w:pPr>
    </w:p>
    <w:p w:rsidR="00757CD3" w:rsidRPr="00757CD3" w:rsidRDefault="00757CD3" w:rsidP="009813D7">
      <w:pPr>
        <w:ind w:left="426"/>
        <w:rPr>
          <w:rFonts w:cs="Arial"/>
          <w:sz w:val="24"/>
          <w:szCs w:val="24"/>
        </w:rPr>
      </w:pPr>
      <w:r w:rsidRPr="00757CD3">
        <w:rPr>
          <w:rFonts w:cs="Arial"/>
          <w:sz w:val="24"/>
          <w:szCs w:val="24"/>
        </w:rPr>
        <w:t>"We are concerned that the Government is not doing enough to monitor licensing authorities’ use of powers to regulate the night-time economy, both with specific regard to spiking incidents and more generally in relation to violence against women and girls. Within three months the Government should:</w:t>
      </w:r>
    </w:p>
    <w:p w:rsidR="00757CD3" w:rsidRPr="00757CD3" w:rsidRDefault="00757CD3" w:rsidP="00757CD3">
      <w:pPr>
        <w:rPr>
          <w:rFonts w:cs="Arial"/>
          <w:sz w:val="24"/>
          <w:szCs w:val="24"/>
        </w:rPr>
      </w:pPr>
    </w:p>
    <w:p w:rsidR="00757CD3" w:rsidRPr="00757CD3" w:rsidRDefault="00757CD3" w:rsidP="009813D7">
      <w:pPr>
        <w:ind w:left="426"/>
        <w:rPr>
          <w:rFonts w:cs="Arial"/>
          <w:sz w:val="24"/>
          <w:szCs w:val="24"/>
        </w:rPr>
      </w:pPr>
      <w:r w:rsidRPr="00757CD3">
        <w:rPr>
          <w:rFonts w:cs="Arial"/>
          <w:sz w:val="24"/>
          <w:szCs w:val="24"/>
        </w:rPr>
        <w:t>(i) collect data on local licensing authorities’ use of their powers to impose conditions or revoke premises licenses, where venues do not take sufficient measures to protect and provide support to customers in spiking incidents;</w:t>
      </w:r>
    </w:p>
    <w:p w:rsidR="00757CD3" w:rsidRPr="00757CD3" w:rsidRDefault="00757CD3" w:rsidP="009813D7">
      <w:pPr>
        <w:ind w:left="426"/>
        <w:rPr>
          <w:rFonts w:cs="Arial"/>
          <w:sz w:val="24"/>
          <w:szCs w:val="24"/>
        </w:rPr>
      </w:pPr>
      <w:r w:rsidRPr="00757CD3">
        <w:rPr>
          <w:rFonts w:cs="Arial"/>
          <w:sz w:val="24"/>
          <w:szCs w:val="24"/>
        </w:rPr>
        <w:t xml:space="preserve">(ii) </w:t>
      </w:r>
      <w:proofErr w:type="gramStart"/>
      <w:r w:rsidRPr="00757CD3">
        <w:rPr>
          <w:rFonts w:cs="Arial"/>
          <w:sz w:val="24"/>
          <w:szCs w:val="24"/>
        </w:rPr>
        <w:t>work</w:t>
      </w:r>
      <w:proofErr w:type="gramEnd"/>
      <w:r w:rsidRPr="00757CD3">
        <w:rPr>
          <w:rFonts w:cs="Arial"/>
          <w:sz w:val="24"/>
          <w:szCs w:val="24"/>
        </w:rPr>
        <w:t xml:space="preserve"> with local authorities to develop an anti-spiking strategy which encourages local licensing authorities to make better use of these powers; and</w:t>
      </w:r>
    </w:p>
    <w:p w:rsidR="00757CD3" w:rsidRPr="00757CD3" w:rsidRDefault="00757CD3" w:rsidP="009813D7">
      <w:pPr>
        <w:ind w:left="426"/>
        <w:rPr>
          <w:rFonts w:cs="Arial"/>
          <w:sz w:val="24"/>
          <w:szCs w:val="24"/>
        </w:rPr>
      </w:pPr>
      <w:r w:rsidRPr="00757CD3">
        <w:rPr>
          <w:rFonts w:cs="Arial"/>
          <w:sz w:val="24"/>
          <w:szCs w:val="24"/>
        </w:rPr>
        <w:t xml:space="preserve">(iii) </w:t>
      </w:r>
      <w:proofErr w:type="gramStart"/>
      <w:r w:rsidRPr="00757CD3">
        <w:rPr>
          <w:rFonts w:cs="Arial"/>
          <w:sz w:val="24"/>
          <w:szCs w:val="24"/>
        </w:rPr>
        <w:t>as</w:t>
      </w:r>
      <w:proofErr w:type="gramEnd"/>
      <w:r w:rsidRPr="00757CD3">
        <w:rPr>
          <w:rFonts w:cs="Arial"/>
          <w:sz w:val="24"/>
          <w:szCs w:val="24"/>
        </w:rPr>
        <w:t xml:space="preserve"> part of this, review guidance issued under section 182 of the Licensing Act 2003 with a view to requiring licensing authorities to consider the </w:t>
      </w:r>
      <w:r w:rsidRPr="00757CD3">
        <w:rPr>
          <w:rFonts w:cs="Arial"/>
          <w:sz w:val="24"/>
          <w:szCs w:val="24"/>
        </w:rPr>
        <w:lastRenderedPageBreak/>
        <w:t>prevalence, prevention and reporting of sexual harassment and misconduct and gender-based violence in statements of local licensing policy."</w:t>
      </w:r>
    </w:p>
    <w:p w:rsidR="00757CD3" w:rsidRPr="00757CD3" w:rsidRDefault="00757CD3" w:rsidP="00757CD3">
      <w:pPr>
        <w:rPr>
          <w:rFonts w:cs="Arial"/>
          <w:sz w:val="24"/>
          <w:szCs w:val="24"/>
        </w:rPr>
      </w:pPr>
    </w:p>
    <w:p w:rsidR="00757CD3" w:rsidRPr="00757CD3" w:rsidRDefault="00757CD3" w:rsidP="009813D7">
      <w:pPr>
        <w:ind w:firstLine="426"/>
        <w:rPr>
          <w:rFonts w:cs="Arial"/>
          <w:sz w:val="24"/>
          <w:szCs w:val="24"/>
        </w:rPr>
      </w:pPr>
      <w:r w:rsidRPr="00757CD3">
        <w:rPr>
          <w:rFonts w:cs="Arial"/>
          <w:sz w:val="24"/>
          <w:szCs w:val="24"/>
        </w:rPr>
        <w:t>Other recommendation include:</w:t>
      </w:r>
    </w:p>
    <w:p w:rsidR="00757CD3" w:rsidRPr="00757CD3" w:rsidRDefault="00757CD3" w:rsidP="00757CD3">
      <w:pPr>
        <w:rPr>
          <w:rFonts w:cs="Arial"/>
          <w:sz w:val="24"/>
          <w:szCs w:val="24"/>
        </w:rPr>
      </w:pPr>
    </w:p>
    <w:p w:rsidR="00757CD3" w:rsidRPr="00757CD3" w:rsidRDefault="00757CD3" w:rsidP="00EE6A08">
      <w:pPr>
        <w:ind w:left="426"/>
        <w:rPr>
          <w:rFonts w:cs="Arial"/>
          <w:sz w:val="24"/>
          <w:szCs w:val="24"/>
        </w:rPr>
      </w:pPr>
      <w:proofErr w:type="gramStart"/>
      <w:r w:rsidRPr="00757CD3">
        <w:rPr>
          <w:rFonts w:cs="Arial"/>
          <w:sz w:val="24"/>
          <w:szCs w:val="24"/>
        </w:rPr>
        <w:t>all</w:t>
      </w:r>
      <w:proofErr w:type="gramEnd"/>
      <w:r w:rsidRPr="00757CD3">
        <w:rPr>
          <w:rFonts w:cs="Arial"/>
          <w:sz w:val="24"/>
          <w:szCs w:val="24"/>
        </w:rPr>
        <w:t xml:space="preserve"> staff working at music festivals, including vendors, be given compulsory safeguarding training, and this be a requirement that licensing authorities consider when approving events. This might be done along lines similar to training provided in voluntary schemes in other licensed premises, such as Ask Angela or the licensing security and vulnerability initiative (Licensing SAVI).</w:t>
      </w:r>
    </w:p>
    <w:p w:rsidR="00757CD3" w:rsidRPr="00757CD3" w:rsidRDefault="009813D7" w:rsidP="009813D7">
      <w:pPr>
        <w:ind w:left="426" w:hanging="142"/>
        <w:rPr>
          <w:rFonts w:cs="Arial"/>
          <w:sz w:val="24"/>
          <w:szCs w:val="24"/>
        </w:rPr>
      </w:pPr>
      <w:r>
        <w:rPr>
          <w:rFonts w:cs="Arial"/>
          <w:sz w:val="24"/>
          <w:szCs w:val="24"/>
        </w:rPr>
        <w:t xml:space="preserve"> </w:t>
      </w:r>
      <w:r w:rsidR="00EE6A08">
        <w:rPr>
          <w:rFonts w:cs="Arial"/>
          <w:sz w:val="24"/>
          <w:szCs w:val="24"/>
        </w:rPr>
        <w:tab/>
      </w:r>
      <w:r w:rsidR="00757CD3" w:rsidRPr="00757CD3">
        <w:rPr>
          <w:rFonts w:cs="Arial"/>
          <w:sz w:val="24"/>
          <w:szCs w:val="24"/>
        </w:rPr>
        <w:t>The Home Office should give the Committee a written update six months from the date of publication of this Report on progress towards creating a separate criminal offence of spiking.</w:t>
      </w:r>
    </w:p>
    <w:p w:rsidR="00757CD3" w:rsidRPr="00757CD3" w:rsidRDefault="009813D7" w:rsidP="009813D7">
      <w:pPr>
        <w:ind w:left="284" w:hanging="142"/>
        <w:rPr>
          <w:rFonts w:cs="Arial"/>
          <w:sz w:val="24"/>
          <w:szCs w:val="24"/>
        </w:rPr>
      </w:pPr>
      <w:r>
        <w:rPr>
          <w:rFonts w:cs="Arial"/>
          <w:sz w:val="24"/>
          <w:szCs w:val="24"/>
        </w:rPr>
        <w:t xml:space="preserve"> </w:t>
      </w:r>
      <w:r w:rsidR="00000BD1">
        <w:rPr>
          <w:rFonts w:cs="Arial"/>
          <w:sz w:val="24"/>
          <w:szCs w:val="24"/>
        </w:rPr>
        <w:t xml:space="preserve">   </w:t>
      </w:r>
      <w:r w:rsidR="00757CD3" w:rsidRPr="00757CD3">
        <w:rPr>
          <w:rFonts w:cs="Arial"/>
          <w:sz w:val="24"/>
          <w:szCs w:val="24"/>
        </w:rPr>
        <w:t xml:space="preserve">As part of its national communications campaign to say “Enough” to </w:t>
      </w:r>
      <w:proofErr w:type="gramStart"/>
      <w:r w:rsidR="00757CD3" w:rsidRPr="00757CD3">
        <w:rPr>
          <w:rFonts w:cs="Arial"/>
          <w:sz w:val="24"/>
          <w:szCs w:val="24"/>
        </w:rPr>
        <w:t xml:space="preserve">violence </w:t>
      </w:r>
      <w:r w:rsidR="00000BD1">
        <w:rPr>
          <w:rFonts w:cs="Arial"/>
          <w:sz w:val="24"/>
          <w:szCs w:val="24"/>
        </w:rPr>
        <w:t xml:space="preserve"> </w:t>
      </w:r>
      <w:r w:rsidR="00757CD3" w:rsidRPr="00757CD3">
        <w:rPr>
          <w:rFonts w:cs="Arial"/>
          <w:sz w:val="24"/>
          <w:szCs w:val="24"/>
        </w:rPr>
        <w:t>against</w:t>
      </w:r>
      <w:proofErr w:type="gramEnd"/>
      <w:r w:rsidR="00757CD3" w:rsidRPr="00757CD3">
        <w:rPr>
          <w:rFonts w:cs="Arial"/>
          <w:sz w:val="24"/>
          <w:szCs w:val="24"/>
        </w:rPr>
        <w:t xml:space="preserve"> women and girls, the Government should engage with the night-time industry, the education sector, and the health sector to produce a national anti-spiking communications campaign.</w:t>
      </w:r>
    </w:p>
    <w:p w:rsidR="00757CD3" w:rsidRDefault="00757CD3" w:rsidP="009813D7">
      <w:pPr>
        <w:ind w:left="284"/>
        <w:rPr>
          <w:rFonts w:cs="Arial"/>
          <w:sz w:val="24"/>
          <w:szCs w:val="24"/>
        </w:rPr>
      </w:pPr>
      <w:r w:rsidRPr="00757CD3">
        <w:rPr>
          <w:rFonts w:cs="Arial"/>
          <w:sz w:val="24"/>
          <w:szCs w:val="24"/>
        </w:rPr>
        <w:t>As part of its wider VAWG strategy, the Government should consider a support package for night-time industries to boost security measures including the recruitment and training of additional door security staff, particularly female staff.</w:t>
      </w:r>
    </w:p>
    <w:p w:rsidR="00000BD1" w:rsidRDefault="00E61B55" w:rsidP="009813D7">
      <w:pPr>
        <w:ind w:left="284"/>
        <w:rPr>
          <w:rFonts w:cs="Arial"/>
          <w:sz w:val="24"/>
          <w:szCs w:val="24"/>
        </w:rPr>
      </w:pPr>
      <w:r>
        <w:rPr>
          <w:rFonts w:cs="Arial"/>
          <w:sz w:val="24"/>
          <w:szCs w:val="24"/>
        </w:rPr>
        <w:t xml:space="preserve"> </w:t>
      </w:r>
    </w:p>
    <w:p w:rsidR="00E61B55" w:rsidRPr="00820019" w:rsidRDefault="00E61B55" w:rsidP="009813D7">
      <w:pPr>
        <w:ind w:left="284"/>
        <w:rPr>
          <w:rFonts w:cs="Arial"/>
          <w:sz w:val="24"/>
          <w:szCs w:val="24"/>
        </w:rPr>
      </w:pPr>
      <w:r>
        <w:rPr>
          <w:rFonts w:cs="Arial"/>
          <w:sz w:val="24"/>
          <w:szCs w:val="24"/>
        </w:rPr>
        <w:t>A letter has been to all licensing authorities annex 1.</w:t>
      </w:r>
    </w:p>
    <w:p w:rsidR="00820019" w:rsidRPr="00262F01" w:rsidRDefault="00820019" w:rsidP="00757CD3">
      <w:pPr>
        <w:ind w:left="1440"/>
        <w:rPr>
          <w:rFonts w:cs="Arial"/>
          <w:sz w:val="24"/>
          <w:szCs w:val="24"/>
        </w:rPr>
      </w:pPr>
    </w:p>
    <w:p w:rsidR="00323174" w:rsidRDefault="00323174" w:rsidP="006A0E78">
      <w:pPr>
        <w:tabs>
          <w:tab w:val="left" w:pos="720"/>
          <w:tab w:val="right" w:pos="9000"/>
        </w:tabs>
        <w:rPr>
          <w:rFonts w:cs="Arial"/>
          <w:b/>
          <w:sz w:val="24"/>
          <w:szCs w:val="24"/>
        </w:rPr>
      </w:pPr>
    </w:p>
    <w:p w:rsidR="006A0E78" w:rsidRDefault="00323174" w:rsidP="006A0E78">
      <w:pPr>
        <w:tabs>
          <w:tab w:val="left" w:pos="720"/>
          <w:tab w:val="right" w:pos="9000"/>
        </w:tabs>
        <w:rPr>
          <w:rFonts w:cs="Arial"/>
          <w:b/>
          <w:sz w:val="24"/>
          <w:szCs w:val="24"/>
        </w:rPr>
      </w:pPr>
      <w:r>
        <w:rPr>
          <w:rFonts w:cs="Arial"/>
          <w:b/>
          <w:sz w:val="24"/>
          <w:szCs w:val="24"/>
        </w:rPr>
        <w:t>4</w:t>
      </w:r>
      <w:r w:rsidR="006A0E78">
        <w:rPr>
          <w:rFonts w:cs="Arial"/>
          <w:b/>
          <w:sz w:val="24"/>
          <w:szCs w:val="24"/>
        </w:rPr>
        <w:t>.</w:t>
      </w:r>
      <w:r w:rsidR="006A0E78">
        <w:rPr>
          <w:rFonts w:cs="Arial"/>
          <w:b/>
          <w:sz w:val="24"/>
          <w:szCs w:val="24"/>
        </w:rPr>
        <w:tab/>
        <w:t>OPTIONS AVAILABLE</w:t>
      </w:r>
    </w:p>
    <w:p w:rsidR="006A0E78" w:rsidRDefault="006A0E78" w:rsidP="006A0E78">
      <w:pPr>
        <w:tabs>
          <w:tab w:val="left" w:pos="720"/>
          <w:tab w:val="right" w:pos="9000"/>
        </w:tabs>
        <w:ind w:left="1080"/>
        <w:rPr>
          <w:rFonts w:cs="Arial"/>
          <w:b/>
          <w:sz w:val="24"/>
          <w:szCs w:val="24"/>
        </w:rPr>
      </w:pPr>
    </w:p>
    <w:p w:rsidR="00FE795C" w:rsidRDefault="00483434" w:rsidP="00483434">
      <w:pPr>
        <w:ind w:left="720" w:hanging="720"/>
        <w:rPr>
          <w:rFonts w:cs="Arial"/>
          <w:b/>
          <w:sz w:val="24"/>
          <w:szCs w:val="24"/>
        </w:rPr>
      </w:pPr>
      <w:r>
        <w:rPr>
          <w:rFonts w:cs="Arial"/>
          <w:sz w:val="24"/>
          <w:szCs w:val="19"/>
        </w:rPr>
        <w:lastRenderedPageBreak/>
        <w:t>4.1</w:t>
      </w:r>
      <w:r>
        <w:rPr>
          <w:rFonts w:cs="Arial"/>
          <w:sz w:val="24"/>
          <w:szCs w:val="19"/>
        </w:rPr>
        <w:tab/>
      </w:r>
      <w:r w:rsidR="00097C1A">
        <w:rPr>
          <w:rFonts w:cs="Arial"/>
          <w:sz w:val="24"/>
          <w:szCs w:val="19"/>
        </w:rPr>
        <w:t xml:space="preserve">This report is for noting only with Members having the option of informing the </w:t>
      </w:r>
      <w:r>
        <w:rPr>
          <w:rFonts w:cs="Arial"/>
          <w:sz w:val="24"/>
          <w:szCs w:val="19"/>
        </w:rPr>
        <w:t>Licensing Manager</w:t>
      </w:r>
      <w:r w:rsidR="00097C1A" w:rsidRPr="00097C1A">
        <w:rPr>
          <w:rFonts w:cs="Arial"/>
          <w:sz w:val="24"/>
          <w:szCs w:val="19"/>
        </w:rPr>
        <w:t xml:space="preserve"> of any additional licensing issues that they would like to have included in future update reports</w:t>
      </w:r>
      <w:r w:rsidR="00097C1A">
        <w:rPr>
          <w:rFonts w:cs="Arial"/>
          <w:sz w:val="24"/>
          <w:szCs w:val="19"/>
        </w:rPr>
        <w:t>.</w:t>
      </w:r>
    </w:p>
    <w:p w:rsidR="00FE795C" w:rsidRDefault="00FE795C" w:rsidP="006A0E78">
      <w:pPr>
        <w:tabs>
          <w:tab w:val="left" w:pos="720"/>
          <w:tab w:val="right" w:pos="9000"/>
        </w:tabs>
        <w:rPr>
          <w:rFonts w:cs="Arial"/>
          <w:b/>
          <w:sz w:val="24"/>
          <w:szCs w:val="24"/>
        </w:rPr>
      </w:pPr>
    </w:p>
    <w:p w:rsidR="00483434" w:rsidRDefault="00483434" w:rsidP="006A0E78">
      <w:pPr>
        <w:tabs>
          <w:tab w:val="left" w:pos="720"/>
          <w:tab w:val="right" w:pos="9000"/>
        </w:tabs>
        <w:rPr>
          <w:rFonts w:cs="Arial"/>
          <w:b/>
          <w:sz w:val="24"/>
          <w:szCs w:val="24"/>
        </w:rPr>
      </w:pPr>
    </w:p>
    <w:p w:rsidR="00872762" w:rsidRDefault="00872762" w:rsidP="006A0E78">
      <w:pPr>
        <w:tabs>
          <w:tab w:val="left" w:pos="720"/>
          <w:tab w:val="right" w:pos="9000"/>
        </w:tabs>
        <w:rPr>
          <w:rFonts w:cs="Arial"/>
          <w:b/>
          <w:sz w:val="24"/>
          <w:szCs w:val="24"/>
        </w:rPr>
      </w:pPr>
    </w:p>
    <w:p w:rsidR="00872762" w:rsidRDefault="00872762" w:rsidP="006A0E78">
      <w:pPr>
        <w:tabs>
          <w:tab w:val="left" w:pos="720"/>
          <w:tab w:val="right" w:pos="9000"/>
        </w:tabs>
        <w:rPr>
          <w:rFonts w:cs="Arial"/>
          <w:b/>
          <w:sz w:val="24"/>
          <w:szCs w:val="24"/>
        </w:rPr>
      </w:pPr>
      <w:bookmarkStart w:id="0" w:name="_GoBack"/>
      <w:bookmarkEnd w:id="0"/>
    </w:p>
    <w:p w:rsidR="00872762" w:rsidRDefault="00872762"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 xml:space="preserve">5. </w:t>
      </w:r>
      <w:r>
        <w:rPr>
          <w:rFonts w:cs="Arial"/>
          <w:b/>
          <w:sz w:val="24"/>
          <w:szCs w:val="24"/>
        </w:rPr>
        <w:tab/>
        <w:t>RISK ASSESSMENT OF OPTIONS</w:t>
      </w:r>
    </w:p>
    <w:p w:rsidR="006A0E78" w:rsidRDefault="006A0E78" w:rsidP="006A0E78">
      <w:pPr>
        <w:tabs>
          <w:tab w:val="left" w:pos="720"/>
          <w:tab w:val="right" w:pos="9000"/>
        </w:tabs>
        <w:ind w:left="1080"/>
        <w:rPr>
          <w:rFonts w:cs="Arial"/>
          <w:b/>
          <w:sz w:val="24"/>
          <w:szCs w:val="24"/>
        </w:rPr>
      </w:pPr>
    </w:p>
    <w:p w:rsidR="006A0E78" w:rsidRDefault="00483434" w:rsidP="00483434">
      <w:pPr>
        <w:tabs>
          <w:tab w:val="left" w:pos="720"/>
          <w:tab w:val="right" w:pos="9000"/>
        </w:tabs>
        <w:ind w:left="720" w:hanging="720"/>
        <w:rPr>
          <w:rFonts w:cs="Arial"/>
          <w:sz w:val="24"/>
          <w:szCs w:val="24"/>
        </w:rPr>
      </w:pPr>
      <w:r>
        <w:rPr>
          <w:rFonts w:cs="Arial"/>
          <w:sz w:val="24"/>
          <w:szCs w:val="24"/>
        </w:rPr>
        <w:t>5.1</w:t>
      </w:r>
      <w:r>
        <w:rPr>
          <w:rFonts w:cs="Arial"/>
          <w:sz w:val="24"/>
          <w:szCs w:val="24"/>
        </w:rPr>
        <w:tab/>
      </w:r>
      <w:r w:rsidR="008F1578" w:rsidRPr="007B3448">
        <w:rPr>
          <w:rFonts w:cs="Arial"/>
          <w:sz w:val="24"/>
          <w:szCs w:val="24"/>
        </w:rPr>
        <w:t xml:space="preserve">There are no specific risks associated with noting the report, however by keeping Members and the public informed of licensing activity </w:t>
      </w:r>
      <w:r w:rsidR="008F1578">
        <w:rPr>
          <w:rFonts w:cs="Arial"/>
          <w:sz w:val="24"/>
          <w:szCs w:val="24"/>
        </w:rPr>
        <w:t xml:space="preserve">this </w:t>
      </w:r>
      <w:r w:rsidR="008F1578" w:rsidRPr="007B3448">
        <w:rPr>
          <w:rFonts w:cs="Arial"/>
          <w:sz w:val="24"/>
          <w:szCs w:val="24"/>
        </w:rPr>
        <w:t xml:space="preserve">reduces any potential negative reputational risks. </w:t>
      </w:r>
    </w:p>
    <w:p w:rsidR="008F1578" w:rsidRPr="007B3448" w:rsidRDefault="008F1578" w:rsidP="007B3448">
      <w:pPr>
        <w:tabs>
          <w:tab w:val="left" w:pos="720"/>
          <w:tab w:val="right" w:pos="9000"/>
        </w:tabs>
        <w:ind w:left="720"/>
        <w:rPr>
          <w:rFonts w:cs="Arial"/>
          <w:sz w:val="24"/>
          <w:szCs w:val="24"/>
        </w:rPr>
      </w:pPr>
    </w:p>
    <w:p w:rsidR="008F1578" w:rsidRDefault="00483434" w:rsidP="00483434">
      <w:pPr>
        <w:ind w:left="720" w:hanging="720"/>
        <w:rPr>
          <w:rFonts w:cs="Arial"/>
          <w:sz w:val="24"/>
          <w:szCs w:val="19"/>
        </w:rPr>
      </w:pPr>
      <w:r>
        <w:rPr>
          <w:rFonts w:cs="Arial"/>
          <w:sz w:val="24"/>
          <w:szCs w:val="19"/>
        </w:rPr>
        <w:t>5.2</w:t>
      </w:r>
      <w:r>
        <w:rPr>
          <w:rFonts w:cs="Arial"/>
          <w:sz w:val="24"/>
          <w:szCs w:val="19"/>
        </w:rPr>
        <w:tab/>
      </w:r>
      <w:r w:rsidR="008F1578">
        <w:rPr>
          <w:rFonts w:cs="Arial"/>
          <w:sz w:val="24"/>
          <w:szCs w:val="19"/>
        </w:rPr>
        <w:t>The presentation of this report fulfils the Committee Policy Objective relative to the enforcement of licensing activities, premises and persons in the District in accordance with current legislative controls and demonstrates that conditions and restrictions are attached to Licences to meet the intentions of the legislation.</w:t>
      </w:r>
    </w:p>
    <w:p w:rsidR="006A0E78" w:rsidRDefault="006A0E78" w:rsidP="006A0E78">
      <w:pPr>
        <w:tabs>
          <w:tab w:val="left" w:pos="720"/>
          <w:tab w:val="right" w:pos="9000"/>
        </w:tabs>
        <w:rPr>
          <w:rFonts w:cs="Arial"/>
          <w:b/>
          <w:sz w:val="24"/>
          <w:szCs w:val="24"/>
        </w:rPr>
      </w:pPr>
    </w:p>
    <w:p w:rsidR="00483434" w:rsidRDefault="00483434"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6.</w:t>
      </w:r>
      <w:r>
        <w:rPr>
          <w:rFonts w:cs="Arial"/>
          <w:b/>
          <w:sz w:val="24"/>
          <w:szCs w:val="24"/>
        </w:rPr>
        <w:tab/>
        <w:t>ALIGNMENT TO COUNCIL PRIORITIES</w:t>
      </w:r>
    </w:p>
    <w:p w:rsidR="008F1578" w:rsidRDefault="008F1578" w:rsidP="00FE795C">
      <w:pPr>
        <w:ind w:left="720"/>
        <w:rPr>
          <w:rFonts w:cs="Arial"/>
          <w:sz w:val="24"/>
          <w:szCs w:val="19"/>
        </w:rPr>
      </w:pPr>
    </w:p>
    <w:p w:rsidR="008F1578" w:rsidRDefault="00483434" w:rsidP="002E33D8">
      <w:pPr>
        <w:rPr>
          <w:rFonts w:cs="Arial"/>
          <w:sz w:val="24"/>
          <w:szCs w:val="19"/>
        </w:rPr>
      </w:pPr>
      <w:r>
        <w:rPr>
          <w:rFonts w:cs="Arial"/>
          <w:sz w:val="24"/>
          <w:szCs w:val="19"/>
        </w:rPr>
        <w:t>6.1</w:t>
      </w:r>
      <w:r>
        <w:rPr>
          <w:rFonts w:cs="Arial"/>
          <w:sz w:val="24"/>
          <w:szCs w:val="19"/>
        </w:rPr>
        <w:tab/>
      </w:r>
      <w:r w:rsidR="008F1578">
        <w:rPr>
          <w:rFonts w:cs="Arial"/>
          <w:sz w:val="24"/>
          <w:szCs w:val="19"/>
        </w:rPr>
        <w:t>This reports supports the council achieving the following priorities:</w:t>
      </w:r>
    </w:p>
    <w:p w:rsidR="00483434" w:rsidRDefault="00483434" w:rsidP="002E33D8">
      <w:pPr>
        <w:rPr>
          <w:rFonts w:cs="Arial"/>
          <w:sz w:val="24"/>
          <w:szCs w:val="19"/>
        </w:rPr>
      </w:pPr>
    </w:p>
    <w:p w:rsidR="008F1578" w:rsidRPr="002E33D8" w:rsidRDefault="008F1578" w:rsidP="00323174">
      <w:pPr>
        <w:pStyle w:val="ListParagraph"/>
        <w:numPr>
          <w:ilvl w:val="0"/>
          <w:numId w:val="2"/>
        </w:numPr>
        <w:jc w:val="both"/>
        <w:rPr>
          <w:rFonts w:cs="Arial"/>
          <w:sz w:val="24"/>
          <w:szCs w:val="19"/>
        </w:rPr>
      </w:pPr>
      <w:r w:rsidRPr="002E33D8">
        <w:rPr>
          <w:rFonts w:cs="Arial"/>
          <w:sz w:val="24"/>
          <w:szCs w:val="19"/>
        </w:rPr>
        <w:t>Improve the town centre experience for residents, visitors and businesses</w:t>
      </w:r>
    </w:p>
    <w:p w:rsidR="008F1578" w:rsidRPr="002E33D8" w:rsidRDefault="008F1578" w:rsidP="00323174">
      <w:pPr>
        <w:pStyle w:val="ListParagraph"/>
        <w:numPr>
          <w:ilvl w:val="0"/>
          <w:numId w:val="2"/>
        </w:numPr>
        <w:jc w:val="both"/>
        <w:rPr>
          <w:rFonts w:cs="Arial"/>
          <w:sz w:val="24"/>
          <w:szCs w:val="19"/>
        </w:rPr>
      </w:pPr>
      <w:r w:rsidRPr="002E33D8">
        <w:rPr>
          <w:rFonts w:cs="Arial"/>
          <w:sz w:val="24"/>
          <w:szCs w:val="19"/>
        </w:rPr>
        <w:t>Create an infrastructure that supports and enhances the quality of life for residents.</w:t>
      </w:r>
    </w:p>
    <w:p w:rsidR="008F1578" w:rsidRPr="002E33D8" w:rsidRDefault="008F1578" w:rsidP="00323174">
      <w:pPr>
        <w:pStyle w:val="ListParagraph"/>
        <w:numPr>
          <w:ilvl w:val="0"/>
          <w:numId w:val="2"/>
        </w:numPr>
        <w:jc w:val="both"/>
        <w:rPr>
          <w:rFonts w:cs="Arial"/>
          <w:sz w:val="24"/>
          <w:szCs w:val="19"/>
        </w:rPr>
      </w:pPr>
      <w:r w:rsidRPr="002E33D8">
        <w:rPr>
          <w:rFonts w:cs="Arial"/>
          <w:sz w:val="24"/>
          <w:szCs w:val="19"/>
        </w:rPr>
        <w:t>Develop and sustain local businesses and encourage national and regional businesses to invest in the area.</w:t>
      </w:r>
    </w:p>
    <w:p w:rsidR="008F1578" w:rsidRPr="002E33D8" w:rsidRDefault="008F1578" w:rsidP="00323174">
      <w:pPr>
        <w:pStyle w:val="ListParagraph"/>
        <w:numPr>
          <w:ilvl w:val="0"/>
          <w:numId w:val="2"/>
        </w:numPr>
        <w:jc w:val="both"/>
        <w:rPr>
          <w:rFonts w:cs="Arial"/>
          <w:sz w:val="24"/>
          <w:szCs w:val="19"/>
        </w:rPr>
      </w:pPr>
      <w:r w:rsidRPr="002E33D8">
        <w:rPr>
          <w:rFonts w:cs="Arial"/>
          <w:sz w:val="24"/>
          <w:szCs w:val="19"/>
        </w:rPr>
        <w:t>Support a good quality of life for those who live and work here</w:t>
      </w:r>
    </w:p>
    <w:p w:rsidR="006A0E78" w:rsidRDefault="006A0E78" w:rsidP="002E33D8">
      <w:pPr>
        <w:tabs>
          <w:tab w:val="left" w:pos="720"/>
          <w:tab w:val="right" w:pos="9000"/>
        </w:tabs>
        <w:ind w:left="1080"/>
        <w:rPr>
          <w:rFonts w:cs="Arial"/>
          <w:b/>
          <w:sz w:val="24"/>
          <w:szCs w:val="24"/>
        </w:rPr>
      </w:pP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7.</w:t>
      </w:r>
      <w:r>
        <w:rPr>
          <w:rFonts w:cs="Arial"/>
          <w:b/>
          <w:sz w:val="24"/>
          <w:szCs w:val="24"/>
        </w:rPr>
        <w:tab/>
        <w:t>IMPLICATIONS RELATING TO RELEVANT LEGISLATION</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(A) Relevant legislation – None</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(B) </w:t>
      </w:r>
      <w:r w:rsidR="00823856">
        <w:rPr>
          <w:rFonts w:cs="Arial"/>
          <w:sz w:val="24"/>
          <w:szCs w:val="24"/>
        </w:rPr>
        <w:t>Human Rights – No implications</w:t>
      </w:r>
      <w:r>
        <w:rPr>
          <w:rFonts w:cs="Arial"/>
          <w:sz w:val="24"/>
          <w:szCs w:val="24"/>
        </w:rPr>
        <w:t xml:space="preserve">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(C) Equality and Diversity – No implications</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(D) Climate Change and Environmental sustainability – No implications.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(E) Crime and Disorder – No implications.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(F) Budget/Resource</w:t>
      </w:r>
      <w:r w:rsidR="00823856">
        <w:rPr>
          <w:rFonts w:cs="Arial"/>
          <w:sz w:val="24"/>
          <w:szCs w:val="24"/>
        </w:rPr>
        <w:t xml:space="preserve"> –</w:t>
      </w:r>
      <w:r>
        <w:rPr>
          <w:rFonts w:cs="Arial"/>
          <w:sz w:val="24"/>
          <w:szCs w:val="24"/>
        </w:rPr>
        <w:t xml:space="preserve"> No Implications.</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b/>
          <w:sz w:val="24"/>
          <w:szCs w:val="24"/>
        </w:rPr>
      </w:pPr>
    </w:p>
    <w:p w:rsidR="0062448F" w:rsidRDefault="0062448F" w:rsidP="006A0E78">
      <w:pPr>
        <w:tabs>
          <w:tab w:val="left" w:pos="720"/>
          <w:tab w:val="right" w:pos="9000"/>
        </w:tabs>
        <w:ind w:left="1080" w:hanging="371"/>
        <w:rPr>
          <w:rFonts w:cs="Arial"/>
          <w:b/>
          <w:sz w:val="24"/>
          <w:szCs w:val="24"/>
        </w:rPr>
      </w:pPr>
    </w:p>
    <w:p w:rsidR="0062448F" w:rsidRDefault="0062448F" w:rsidP="006A0E78">
      <w:pPr>
        <w:tabs>
          <w:tab w:val="left" w:pos="720"/>
          <w:tab w:val="right" w:pos="9000"/>
        </w:tabs>
        <w:ind w:left="1080" w:hanging="371"/>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8.</w:t>
      </w:r>
      <w:r>
        <w:rPr>
          <w:rFonts w:cs="Arial"/>
          <w:b/>
          <w:sz w:val="24"/>
          <w:szCs w:val="24"/>
        </w:rPr>
        <w:tab/>
        <w:t>COMMENTS OF STATUTORY OFFICERS</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Head of Paid Services – </w:t>
      </w:r>
      <w:r w:rsidR="00FE795C">
        <w:rPr>
          <w:rFonts w:cs="Arial"/>
          <w:sz w:val="24"/>
          <w:szCs w:val="24"/>
        </w:rPr>
        <w:t>N/A</w:t>
      </w:r>
    </w:p>
    <w:p w:rsidR="006A0E78" w:rsidRDefault="006A0E78" w:rsidP="006A0E78">
      <w:pPr>
        <w:tabs>
          <w:tab w:val="left" w:pos="720"/>
          <w:tab w:val="right" w:pos="9000"/>
        </w:tabs>
        <w:ind w:left="1080"/>
        <w:rPr>
          <w:rFonts w:cs="Arial"/>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Monitoring Officer </w:t>
      </w:r>
      <w:r w:rsidR="002378B2">
        <w:rPr>
          <w:rFonts w:cs="Arial"/>
          <w:sz w:val="24"/>
          <w:szCs w:val="24"/>
        </w:rPr>
        <w:t>– No specific comments</w:t>
      </w:r>
    </w:p>
    <w:p w:rsidR="006A0E78" w:rsidRDefault="006A0E78" w:rsidP="006A0E78">
      <w:pPr>
        <w:tabs>
          <w:tab w:val="left" w:pos="720"/>
          <w:tab w:val="right" w:pos="9000"/>
        </w:tabs>
        <w:ind w:left="1080"/>
        <w:rPr>
          <w:rFonts w:cs="Arial"/>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Section 151 Officer </w:t>
      </w:r>
      <w:proofErr w:type="gramStart"/>
      <w:r>
        <w:rPr>
          <w:rFonts w:cs="Arial"/>
          <w:sz w:val="24"/>
          <w:szCs w:val="24"/>
        </w:rPr>
        <w:t xml:space="preserve">–  </w:t>
      </w:r>
      <w:r w:rsidR="002378B2">
        <w:rPr>
          <w:rFonts w:cs="Arial"/>
          <w:sz w:val="24"/>
          <w:szCs w:val="24"/>
        </w:rPr>
        <w:t>No</w:t>
      </w:r>
      <w:proofErr w:type="gramEnd"/>
      <w:r w:rsidR="002378B2">
        <w:rPr>
          <w:rFonts w:cs="Arial"/>
          <w:sz w:val="24"/>
          <w:szCs w:val="24"/>
        </w:rPr>
        <w:t xml:space="preserve"> Specific comments</w:t>
      </w:r>
    </w:p>
    <w:p w:rsidR="006A0E78" w:rsidRDefault="006A0E78" w:rsidP="006A0E78">
      <w:pPr>
        <w:tabs>
          <w:tab w:val="left" w:pos="720"/>
          <w:tab w:val="right" w:pos="9000"/>
        </w:tabs>
        <w:ind w:left="1080"/>
        <w:rPr>
          <w:rFonts w:cs="Arial"/>
          <w:b/>
          <w:sz w:val="24"/>
          <w:szCs w:val="24"/>
        </w:rPr>
      </w:pPr>
    </w:p>
    <w:p w:rsidR="00483434" w:rsidRDefault="00483434"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9.</w:t>
      </w:r>
      <w:r>
        <w:rPr>
          <w:rFonts w:cs="Arial"/>
          <w:b/>
          <w:sz w:val="24"/>
          <w:szCs w:val="24"/>
        </w:rPr>
        <w:tab/>
        <w:t>CONSULTATION</w:t>
      </w:r>
    </w:p>
    <w:p w:rsidR="006A0E78" w:rsidRDefault="006A0E78" w:rsidP="006A0E78">
      <w:pPr>
        <w:tabs>
          <w:tab w:val="left" w:pos="720"/>
          <w:tab w:val="right" w:pos="9000"/>
        </w:tabs>
        <w:ind w:left="1080"/>
        <w:rPr>
          <w:rFonts w:cs="Arial"/>
          <w:b/>
          <w:sz w:val="24"/>
          <w:szCs w:val="24"/>
        </w:rPr>
      </w:pPr>
    </w:p>
    <w:p w:rsidR="0072479E" w:rsidRDefault="0072479E" w:rsidP="0072479E">
      <w:pPr>
        <w:tabs>
          <w:tab w:val="left" w:pos="720"/>
          <w:tab w:val="right" w:pos="9000"/>
        </w:tabs>
        <w:ind w:left="720" w:hanging="720"/>
        <w:rPr>
          <w:rFonts w:cs="Arial"/>
          <w:sz w:val="24"/>
          <w:szCs w:val="24"/>
        </w:rPr>
      </w:pPr>
      <w:r>
        <w:rPr>
          <w:rFonts w:cs="Arial"/>
          <w:sz w:val="24"/>
          <w:szCs w:val="24"/>
        </w:rPr>
        <w:t>9.1</w:t>
      </w:r>
      <w:r>
        <w:rPr>
          <w:rFonts w:cs="Arial"/>
          <w:sz w:val="24"/>
          <w:szCs w:val="24"/>
        </w:rPr>
        <w:tab/>
        <w:t>The following services and officers have been consulted in the development of this report:</w:t>
      </w:r>
    </w:p>
    <w:p w:rsidR="0072479E" w:rsidRDefault="0072479E" w:rsidP="0072479E">
      <w:pPr>
        <w:tabs>
          <w:tab w:val="left" w:pos="720"/>
          <w:tab w:val="right" w:pos="9000"/>
        </w:tabs>
        <w:ind w:left="720" w:hanging="720"/>
        <w:rPr>
          <w:rFonts w:cs="Arial"/>
          <w:sz w:val="24"/>
          <w:szCs w:val="24"/>
        </w:rPr>
      </w:pPr>
    </w:p>
    <w:p w:rsidR="006A0E78" w:rsidRPr="0072479E" w:rsidRDefault="0072479E" w:rsidP="00323174">
      <w:pPr>
        <w:pStyle w:val="ListParagraph"/>
        <w:numPr>
          <w:ilvl w:val="1"/>
          <w:numId w:val="3"/>
        </w:numPr>
        <w:tabs>
          <w:tab w:val="left" w:pos="720"/>
          <w:tab w:val="right" w:pos="9000"/>
        </w:tabs>
        <w:rPr>
          <w:rFonts w:cs="Arial"/>
          <w:sz w:val="24"/>
          <w:szCs w:val="24"/>
        </w:rPr>
      </w:pPr>
      <w:r w:rsidRPr="0072479E">
        <w:rPr>
          <w:rFonts w:cs="Arial"/>
          <w:sz w:val="24"/>
          <w:szCs w:val="24"/>
        </w:rPr>
        <w:t xml:space="preserve">Legal Services </w:t>
      </w:r>
      <w:r w:rsidR="006A0E78" w:rsidRPr="0072479E">
        <w:rPr>
          <w:rFonts w:cs="Arial"/>
          <w:sz w:val="24"/>
          <w:szCs w:val="24"/>
        </w:rPr>
        <w:t xml:space="preserve"> </w:t>
      </w:r>
    </w:p>
    <w:p w:rsidR="006A0E78" w:rsidRPr="0072479E" w:rsidRDefault="0072479E" w:rsidP="00323174">
      <w:pPr>
        <w:pStyle w:val="ListParagraph"/>
        <w:numPr>
          <w:ilvl w:val="1"/>
          <w:numId w:val="3"/>
        </w:numPr>
        <w:tabs>
          <w:tab w:val="left" w:pos="720"/>
          <w:tab w:val="right" w:pos="9000"/>
        </w:tabs>
        <w:rPr>
          <w:rFonts w:cs="Arial"/>
          <w:sz w:val="24"/>
          <w:szCs w:val="24"/>
        </w:rPr>
      </w:pPr>
      <w:r w:rsidRPr="0072479E">
        <w:rPr>
          <w:rFonts w:cs="Arial"/>
          <w:sz w:val="24"/>
          <w:szCs w:val="24"/>
        </w:rPr>
        <w:t>Financial Services</w:t>
      </w:r>
    </w:p>
    <w:p w:rsidR="006A0E78" w:rsidRPr="0072479E" w:rsidRDefault="0072479E" w:rsidP="00323174">
      <w:pPr>
        <w:pStyle w:val="ListParagraph"/>
        <w:numPr>
          <w:ilvl w:val="1"/>
          <w:numId w:val="3"/>
        </w:numPr>
        <w:tabs>
          <w:tab w:val="left" w:pos="720"/>
          <w:tab w:val="right" w:pos="9000"/>
        </w:tabs>
        <w:rPr>
          <w:rFonts w:cs="Arial"/>
          <w:sz w:val="24"/>
          <w:szCs w:val="24"/>
        </w:rPr>
      </w:pPr>
      <w:r w:rsidRPr="0072479E">
        <w:rPr>
          <w:rFonts w:cs="Arial"/>
          <w:sz w:val="24"/>
          <w:szCs w:val="24"/>
        </w:rPr>
        <w:t xml:space="preserve">Head of Health and Communities </w:t>
      </w:r>
    </w:p>
    <w:p w:rsidR="006A0E78" w:rsidRDefault="006A0E78" w:rsidP="006A0E78">
      <w:pPr>
        <w:tabs>
          <w:tab w:val="left" w:pos="720"/>
          <w:tab w:val="right" w:pos="9000"/>
        </w:tabs>
        <w:rPr>
          <w:rFonts w:cs="Arial"/>
          <w:b/>
          <w:sz w:val="24"/>
          <w:szCs w:val="24"/>
        </w:rPr>
      </w:pPr>
    </w:p>
    <w:p w:rsidR="00483434" w:rsidRDefault="00483434"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10.</w:t>
      </w:r>
      <w:r>
        <w:rPr>
          <w:rFonts w:cs="Arial"/>
          <w:b/>
          <w:sz w:val="24"/>
          <w:szCs w:val="24"/>
        </w:rPr>
        <w:tab/>
        <w:t>BACKGROUND PAPERS</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sz w:val="24"/>
          <w:szCs w:val="24"/>
        </w:rPr>
      </w:pPr>
      <w:r>
        <w:rPr>
          <w:rFonts w:cs="Arial"/>
          <w:sz w:val="24"/>
          <w:szCs w:val="24"/>
        </w:rPr>
        <w:tab/>
        <w:t>None.</w:t>
      </w:r>
    </w:p>
    <w:p w:rsidR="00B16CA2" w:rsidRDefault="00B16CA2" w:rsidP="009F5CD5">
      <w:pPr>
        <w:tabs>
          <w:tab w:val="left" w:pos="720"/>
          <w:tab w:val="right" w:pos="9000"/>
        </w:tabs>
        <w:rPr>
          <w:rFonts w:cs="Arial"/>
          <w:sz w:val="24"/>
          <w:szCs w:val="24"/>
        </w:rPr>
      </w:pPr>
    </w:p>
    <w:p w:rsidR="00BB4A10" w:rsidRDefault="00BB4A10" w:rsidP="009F5CD5">
      <w:pPr>
        <w:tabs>
          <w:tab w:val="left" w:pos="720"/>
          <w:tab w:val="right" w:pos="9000"/>
        </w:tabs>
        <w:rPr>
          <w:rFonts w:cs="Arial"/>
          <w:sz w:val="24"/>
          <w:szCs w:val="24"/>
        </w:rPr>
      </w:pPr>
      <w:r>
        <w:rPr>
          <w:rFonts w:cs="Arial"/>
          <w:sz w:val="24"/>
          <w:szCs w:val="24"/>
        </w:rPr>
        <w:t>Report Author</w:t>
      </w:r>
      <w:r w:rsidR="00C67AE9">
        <w:rPr>
          <w:rFonts w:cs="Arial"/>
          <w:sz w:val="24"/>
          <w:szCs w:val="24"/>
        </w:rPr>
        <w:t xml:space="preserve"> </w:t>
      </w:r>
      <w:r w:rsidR="00CE7C5A">
        <w:rPr>
          <w:rFonts w:cs="Arial"/>
          <w:sz w:val="24"/>
          <w:szCs w:val="24"/>
        </w:rPr>
        <w:t>–</w:t>
      </w:r>
      <w:r w:rsidR="00465F27">
        <w:rPr>
          <w:rFonts w:cs="Arial"/>
          <w:sz w:val="24"/>
          <w:szCs w:val="24"/>
        </w:rPr>
        <w:t xml:space="preserve"> </w:t>
      </w:r>
      <w:r w:rsidR="00CE7C5A">
        <w:rPr>
          <w:rFonts w:cs="Arial"/>
          <w:sz w:val="24"/>
          <w:szCs w:val="24"/>
        </w:rPr>
        <w:t>Susie Rhodes-Best</w:t>
      </w:r>
    </w:p>
    <w:p w:rsidR="00F94F67" w:rsidRDefault="00C67AE9" w:rsidP="009F5CD5">
      <w:pPr>
        <w:tabs>
          <w:tab w:val="left" w:pos="720"/>
          <w:tab w:val="right" w:pos="9000"/>
        </w:tabs>
        <w:rPr>
          <w:rFonts w:cs="Arial"/>
          <w:sz w:val="24"/>
          <w:szCs w:val="24"/>
        </w:rPr>
      </w:pPr>
      <w:r w:rsidRPr="00C67AE9">
        <w:rPr>
          <w:rFonts w:cs="Arial"/>
          <w:sz w:val="24"/>
          <w:szCs w:val="24"/>
        </w:rPr>
        <w:t xml:space="preserve">Designation </w:t>
      </w:r>
      <w:r w:rsidR="00CE7C5A">
        <w:rPr>
          <w:rFonts w:cs="Arial"/>
          <w:sz w:val="24"/>
          <w:szCs w:val="24"/>
        </w:rPr>
        <w:t>–</w:t>
      </w:r>
      <w:r w:rsidRPr="00C67AE9">
        <w:rPr>
          <w:rFonts w:cs="Arial"/>
          <w:sz w:val="24"/>
          <w:szCs w:val="24"/>
        </w:rPr>
        <w:t xml:space="preserve"> </w:t>
      </w:r>
      <w:r w:rsidR="00483434">
        <w:rPr>
          <w:rFonts w:cs="Arial"/>
          <w:sz w:val="24"/>
          <w:szCs w:val="24"/>
        </w:rPr>
        <w:t>Licensing Manager</w:t>
      </w:r>
    </w:p>
    <w:p w:rsidR="00C67AE9" w:rsidRPr="00C67AE9" w:rsidRDefault="003B273C" w:rsidP="009F5CD5">
      <w:pPr>
        <w:tabs>
          <w:tab w:val="left" w:pos="720"/>
          <w:tab w:val="right" w:pos="9000"/>
        </w:tabs>
        <w:rPr>
          <w:rFonts w:cs="Arial"/>
          <w:sz w:val="24"/>
          <w:szCs w:val="24"/>
        </w:rPr>
      </w:pPr>
      <w:r>
        <w:rPr>
          <w:rFonts w:cs="Arial"/>
          <w:sz w:val="24"/>
          <w:szCs w:val="24"/>
        </w:rPr>
        <w:t>Telepho</w:t>
      </w:r>
      <w:r w:rsidR="00C67AE9" w:rsidRPr="00C67AE9">
        <w:rPr>
          <w:rFonts w:cs="Arial"/>
          <w:sz w:val="24"/>
          <w:szCs w:val="24"/>
        </w:rPr>
        <w:t>n</w:t>
      </w:r>
      <w:r w:rsidR="00C67AE9">
        <w:rPr>
          <w:rFonts w:cs="Arial"/>
          <w:sz w:val="24"/>
          <w:szCs w:val="24"/>
        </w:rPr>
        <w:t xml:space="preserve">e – 01623 </w:t>
      </w:r>
      <w:r w:rsidR="00CE7C5A">
        <w:rPr>
          <w:rFonts w:cs="Arial"/>
          <w:sz w:val="24"/>
          <w:szCs w:val="24"/>
        </w:rPr>
        <w:t>463388</w:t>
      </w:r>
    </w:p>
    <w:p w:rsidR="008D3D73" w:rsidRPr="00483434" w:rsidRDefault="00C67AE9" w:rsidP="00483434">
      <w:pPr>
        <w:tabs>
          <w:tab w:val="left" w:pos="720"/>
          <w:tab w:val="right" w:pos="9000"/>
        </w:tabs>
        <w:rPr>
          <w:rFonts w:cs="Arial"/>
          <w:sz w:val="24"/>
          <w:szCs w:val="24"/>
        </w:rPr>
      </w:pPr>
      <w:r w:rsidRPr="00C67AE9">
        <w:rPr>
          <w:rFonts w:cs="Arial"/>
          <w:sz w:val="24"/>
          <w:szCs w:val="24"/>
        </w:rPr>
        <w:t xml:space="preserve">E-mail - </w:t>
      </w:r>
      <w:hyperlink r:id="rId12" w:history="1">
        <w:r w:rsidR="00CE7C5A" w:rsidRPr="00BB05E8">
          <w:rPr>
            <w:rStyle w:val="Hyperlink"/>
            <w:rFonts w:cs="Arial"/>
            <w:sz w:val="24"/>
            <w:szCs w:val="24"/>
          </w:rPr>
          <w:t>srhodesbest@mansfield.gov.uk</w:t>
        </w:r>
      </w:hyperlink>
      <w:r>
        <w:rPr>
          <w:rFonts w:cs="Arial"/>
          <w:sz w:val="24"/>
          <w:szCs w:val="24"/>
        </w:rPr>
        <w:t xml:space="preserve"> </w:t>
      </w:r>
    </w:p>
    <w:p w:rsidR="008D3D73" w:rsidRDefault="008D3D73" w:rsidP="008D3D73">
      <w:pPr>
        <w:rPr>
          <w:rFonts w:cs="Arial"/>
          <w:sz w:val="28"/>
          <w:szCs w:val="28"/>
        </w:rPr>
      </w:pPr>
    </w:p>
    <w:p w:rsidR="008D3D73" w:rsidRDefault="008D3D73" w:rsidP="008D3D73">
      <w:pPr>
        <w:rPr>
          <w:rFonts w:cs="Arial"/>
          <w:sz w:val="28"/>
          <w:szCs w:val="28"/>
        </w:rPr>
      </w:pPr>
    </w:p>
    <w:p w:rsidR="008D3D73" w:rsidRPr="008D3D73" w:rsidRDefault="008D3D73" w:rsidP="009F5CD5">
      <w:pPr>
        <w:tabs>
          <w:tab w:val="left" w:pos="720"/>
          <w:tab w:val="right" w:pos="9000"/>
        </w:tabs>
        <w:rPr>
          <w:rFonts w:cs="Arial"/>
          <w:sz w:val="24"/>
          <w:szCs w:val="24"/>
        </w:rPr>
      </w:pPr>
    </w:p>
    <w:sectPr w:rsidR="008D3D73" w:rsidRPr="008D3D73" w:rsidSect="00BB4A10">
      <w:headerReference w:type="default" r:id="rId13"/>
      <w:footerReference w:type="default" r:id="rId14"/>
      <w:type w:val="continuous"/>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1D" w:rsidRDefault="00FD481D">
      <w:r>
        <w:separator/>
      </w:r>
    </w:p>
  </w:endnote>
  <w:endnote w:type="continuationSeparator" w:id="0">
    <w:p w:rsidR="00FD481D" w:rsidRDefault="00FD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D1" w:rsidRPr="00AA0400" w:rsidRDefault="00CF1AD1">
    <w:pPr>
      <w:pStyle w:val="Footer"/>
      <w:rPr>
        <w:sz w:val="16"/>
        <w:szCs w:val="16"/>
      </w:rPr>
    </w:pPr>
    <w:r>
      <w:rPr>
        <w:noProof/>
        <w:sz w:val="16"/>
        <w:szCs w:val="16"/>
      </w:rPr>
      <w:t>j:\word\masters\Taxi Panel report.doc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1D" w:rsidRDefault="00FD481D">
      <w:r>
        <w:separator/>
      </w:r>
    </w:p>
  </w:footnote>
  <w:footnote w:type="continuationSeparator" w:id="0">
    <w:p w:rsidR="00FD481D" w:rsidRDefault="00FD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D1" w:rsidRPr="00BE210E" w:rsidRDefault="00CF1AD1" w:rsidP="00BE210E">
    <w:pPr>
      <w:pStyle w:val="Header"/>
      <w:jc w:val="right"/>
      <w:rPr>
        <w:rFonts w:cs="Arial"/>
        <w:sz w:val="18"/>
        <w:szCs w:val="18"/>
      </w:rPr>
    </w:pPr>
    <w:r w:rsidRPr="00BE210E">
      <w:rPr>
        <w:rFonts w:cs="Arial"/>
        <w:sz w:val="18"/>
        <w:szCs w:val="18"/>
      </w:rPr>
      <w:t>MANSFIELD DISTRICT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0E6"/>
    <w:multiLevelType w:val="hybridMultilevel"/>
    <w:tmpl w:val="7BA4C9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80D8B"/>
    <w:multiLevelType w:val="multilevel"/>
    <w:tmpl w:val="25663E6C"/>
    <w:lvl w:ilvl="0">
      <w:start w:val="1"/>
      <w:numFmt w:val="decimal"/>
      <w:lvlText w:val="%1."/>
      <w:lvlJc w:val="left"/>
      <w:pPr>
        <w:tabs>
          <w:tab w:val="num" w:pos="1080"/>
        </w:tabs>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54365E"/>
    <w:multiLevelType w:val="hybridMultilevel"/>
    <w:tmpl w:val="D4182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F663B4"/>
    <w:multiLevelType w:val="hybridMultilevel"/>
    <w:tmpl w:val="88663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335D91"/>
    <w:multiLevelType w:val="hybridMultilevel"/>
    <w:tmpl w:val="A8D0C5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F6793"/>
    <w:multiLevelType w:val="hybridMultilevel"/>
    <w:tmpl w:val="70A61B40"/>
    <w:lvl w:ilvl="0" w:tplc="08090009">
      <w:start w:val="1"/>
      <w:numFmt w:val="bullet"/>
      <w:lvlText w:val=""/>
      <w:lvlJc w:val="left"/>
      <w:pPr>
        <w:ind w:left="783" w:hanging="360"/>
      </w:pPr>
      <w:rPr>
        <w:rFonts w:ascii="Wingdings" w:hAnsi="Wingdings"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6" w15:restartNumberingAfterBreak="0">
    <w:nsid w:val="67545120"/>
    <w:multiLevelType w:val="multilevel"/>
    <w:tmpl w:val="E7D0CA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97871FA"/>
    <w:multiLevelType w:val="multilevel"/>
    <w:tmpl w:val="B5E45E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8E24506"/>
    <w:multiLevelType w:val="hybridMultilevel"/>
    <w:tmpl w:val="63761B98"/>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9" w15:restartNumberingAfterBreak="0">
    <w:nsid w:val="796440FC"/>
    <w:multiLevelType w:val="multilevel"/>
    <w:tmpl w:val="925C70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2"/>
  </w:num>
  <w:num w:numId="3">
    <w:abstractNumId w:val="4"/>
  </w:num>
  <w:num w:numId="4">
    <w:abstractNumId w:val="8"/>
  </w:num>
  <w:num w:numId="5">
    <w:abstractNumId w:val="0"/>
  </w:num>
  <w:num w:numId="6">
    <w:abstractNumId w:val="3"/>
  </w:num>
  <w:num w:numId="7">
    <w:abstractNumId w:val="6"/>
  </w:num>
  <w:num w:numId="8">
    <w:abstractNumId w:val="9"/>
  </w:num>
  <w:num w:numId="9">
    <w:abstractNumId w:val="7"/>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0BD1"/>
    <w:rsid w:val="00001552"/>
    <w:rsid w:val="00003BA7"/>
    <w:rsid w:val="000052F7"/>
    <w:rsid w:val="00011434"/>
    <w:rsid w:val="000142FD"/>
    <w:rsid w:val="0001484A"/>
    <w:rsid w:val="00020217"/>
    <w:rsid w:val="0002051F"/>
    <w:rsid w:val="00023FE5"/>
    <w:rsid w:val="00023FE8"/>
    <w:rsid w:val="00024743"/>
    <w:rsid w:val="00024C6D"/>
    <w:rsid w:val="00026A6C"/>
    <w:rsid w:val="000276B2"/>
    <w:rsid w:val="00040A96"/>
    <w:rsid w:val="00047286"/>
    <w:rsid w:val="0005187F"/>
    <w:rsid w:val="00071990"/>
    <w:rsid w:val="000773F6"/>
    <w:rsid w:val="00085715"/>
    <w:rsid w:val="00091F42"/>
    <w:rsid w:val="0009365E"/>
    <w:rsid w:val="00096C85"/>
    <w:rsid w:val="00097C1A"/>
    <w:rsid w:val="000A6256"/>
    <w:rsid w:val="000B1A47"/>
    <w:rsid w:val="000B5894"/>
    <w:rsid w:val="000C6BA3"/>
    <w:rsid w:val="000C74DB"/>
    <w:rsid w:val="000D3014"/>
    <w:rsid w:val="000D4B9E"/>
    <w:rsid w:val="000D4E2E"/>
    <w:rsid w:val="000E0758"/>
    <w:rsid w:val="000F1C24"/>
    <w:rsid w:val="000F4707"/>
    <w:rsid w:val="000F4CD0"/>
    <w:rsid w:val="000F67FD"/>
    <w:rsid w:val="00102404"/>
    <w:rsid w:val="001145F6"/>
    <w:rsid w:val="001146BB"/>
    <w:rsid w:val="00114EB4"/>
    <w:rsid w:val="00117F1A"/>
    <w:rsid w:val="001244D9"/>
    <w:rsid w:val="00126AFA"/>
    <w:rsid w:val="0012794C"/>
    <w:rsid w:val="00131C62"/>
    <w:rsid w:val="00133430"/>
    <w:rsid w:val="00155059"/>
    <w:rsid w:val="00162291"/>
    <w:rsid w:val="00192641"/>
    <w:rsid w:val="001936BD"/>
    <w:rsid w:val="001963F1"/>
    <w:rsid w:val="001A28D9"/>
    <w:rsid w:val="001A31D4"/>
    <w:rsid w:val="001A3797"/>
    <w:rsid w:val="001A7C8A"/>
    <w:rsid w:val="001B1635"/>
    <w:rsid w:val="001B19BC"/>
    <w:rsid w:val="001B434A"/>
    <w:rsid w:val="001C2208"/>
    <w:rsid w:val="001C2864"/>
    <w:rsid w:val="001C3173"/>
    <w:rsid w:val="001C4696"/>
    <w:rsid w:val="001E1165"/>
    <w:rsid w:val="001E238A"/>
    <w:rsid w:val="001E556D"/>
    <w:rsid w:val="001E5CC8"/>
    <w:rsid w:val="001F169B"/>
    <w:rsid w:val="001F1DB6"/>
    <w:rsid w:val="0021581C"/>
    <w:rsid w:val="00215A69"/>
    <w:rsid w:val="00216F02"/>
    <w:rsid w:val="00217A8C"/>
    <w:rsid w:val="0022687B"/>
    <w:rsid w:val="002378B2"/>
    <w:rsid w:val="002424D1"/>
    <w:rsid w:val="00242CF8"/>
    <w:rsid w:val="00245D89"/>
    <w:rsid w:val="0025356A"/>
    <w:rsid w:val="00262F01"/>
    <w:rsid w:val="002737B3"/>
    <w:rsid w:val="00280AF2"/>
    <w:rsid w:val="00286CB0"/>
    <w:rsid w:val="00287EEE"/>
    <w:rsid w:val="00290695"/>
    <w:rsid w:val="00291541"/>
    <w:rsid w:val="002A11E8"/>
    <w:rsid w:val="002A14CB"/>
    <w:rsid w:val="002A4EC3"/>
    <w:rsid w:val="002A784E"/>
    <w:rsid w:val="002B0948"/>
    <w:rsid w:val="002B614E"/>
    <w:rsid w:val="002C4005"/>
    <w:rsid w:val="002C4222"/>
    <w:rsid w:val="002C4E6F"/>
    <w:rsid w:val="002C661B"/>
    <w:rsid w:val="002C7B7D"/>
    <w:rsid w:val="002D1EF9"/>
    <w:rsid w:val="002D5647"/>
    <w:rsid w:val="002D60D5"/>
    <w:rsid w:val="002E33D8"/>
    <w:rsid w:val="002E3BE5"/>
    <w:rsid w:val="002E4564"/>
    <w:rsid w:val="002E4C1F"/>
    <w:rsid w:val="002F1D58"/>
    <w:rsid w:val="002F60FF"/>
    <w:rsid w:val="003111F3"/>
    <w:rsid w:val="003125CC"/>
    <w:rsid w:val="00315019"/>
    <w:rsid w:val="0032240F"/>
    <w:rsid w:val="00323174"/>
    <w:rsid w:val="0032751D"/>
    <w:rsid w:val="00327ED4"/>
    <w:rsid w:val="003410A3"/>
    <w:rsid w:val="0034544F"/>
    <w:rsid w:val="003461F0"/>
    <w:rsid w:val="0034763D"/>
    <w:rsid w:val="00352CD4"/>
    <w:rsid w:val="00352DF4"/>
    <w:rsid w:val="00354DC5"/>
    <w:rsid w:val="00362ABB"/>
    <w:rsid w:val="00363FF4"/>
    <w:rsid w:val="00365A8C"/>
    <w:rsid w:val="00370D44"/>
    <w:rsid w:val="0037497A"/>
    <w:rsid w:val="00375F14"/>
    <w:rsid w:val="00376DE1"/>
    <w:rsid w:val="00382B11"/>
    <w:rsid w:val="003830A7"/>
    <w:rsid w:val="00384530"/>
    <w:rsid w:val="0039301B"/>
    <w:rsid w:val="00395AE0"/>
    <w:rsid w:val="0039725E"/>
    <w:rsid w:val="003A298E"/>
    <w:rsid w:val="003A5D7D"/>
    <w:rsid w:val="003B273C"/>
    <w:rsid w:val="003B3962"/>
    <w:rsid w:val="003B3A7F"/>
    <w:rsid w:val="003B4355"/>
    <w:rsid w:val="003B46E6"/>
    <w:rsid w:val="003C07A9"/>
    <w:rsid w:val="003C356A"/>
    <w:rsid w:val="003C797C"/>
    <w:rsid w:val="003D20D6"/>
    <w:rsid w:val="003D636B"/>
    <w:rsid w:val="003E18A7"/>
    <w:rsid w:val="003E50A6"/>
    <w:rsid w:val="003E615C"/>
    <w:rsid w:val="003F1253"/>
    <w:rsid w:val="003F2E3E"/>
    <w:rsid w:val="003F4D77"/>
    <w:rsid w:val="0040526F"/>
    <w:rsid w:val="00406FA8"/>
    <w:rsid w:val="004077BF"/>
    <w:rsid w:val="004078E3"/>
    <w:rsid w:val="00414670"/>
    <w:rsid w:val="00415541"/>
    <w:rsid w:val="00416299"/>
    <w:rsid w:val="00417ECD"/>
    <w:rsid w:val="00425813"/>
    <w:rsid w:val="00440557"/>
    <w:rsid w:val="00450EB7"/>
    <w:rsid w:val="0045140B"/>
    <w:rsid w:val="00451613"/>
    <w:rsid w:val="00457778"/>
    <w:rsid w:val="00457F72"/>
    <w:rsid w:val="00460CBF"/>
    <w:rsid w:val="004629B6"/>
    <w:rsid w:val="00464A63"/>
    <w:rsid w:val="00465F27"/>
    <w:rsid w:val="00472CBC"/>
    <w:rsid w:val="0047523E"/>
    <w:rsid w:val="00481733"/>
    <w:rsid w:val="00483434"/>
    <w:rsid w:val="00484107"/>
    <w:rsid w:val="004845C9"/>
    <w:rsid w:val="004855CE"/>
    <w:rsid w:val="00485C57"/>
    <w:rsid w:val="00491ABD"/>
    <w:rsid w:val="004933AB"/>
    <w:rsid w:val="004935D5"/>
    <w:rsid w:val="0049543F"/>
    <w:rsid w:val="004A57DB"/>
    <w:rsid w:val="004B2AB0"/>
    <w:rsid w:val="004B338E"/>
    <w:rsid w:val="004C1652"/>
    <w:rsid w:val="004D5261"/>
    <w:rsid w:val="004E3A02"/>
    <w:rsid w:val="004E54F8"/>
    <w:rsid w:val="004E5FE8"/>
    <w:rsid w:val="004E64B2"/>
    <w:rsid w:val="004F6DE0"/>
    <w:rsid w:val="00500153"/>
    <w:rsid w:val="00500A08"/>
    <w:rsid w:val="00510BE1"/>
    <w:rsid w:val="00510C54"/>
    <w:rsid w:val="005146DF"/>
    <w:rsid w:val="005153E1"/>
    <w:rsid w:val="005265B2"/>
    <w:rsid w:val="00531CC4"/>
    <w:rsid w:val="005337EF"/>
    <w:rsid w:val="005369F3"/>
    <w:rsid w:val="00543E95"/>
    <w:rsid w:val="00551ACF"/>
    <w:rsid w:val="00555925"/>
    <w:rsid w:val="00561393"/>
    <w:rsid w:val="00563E9B"/>
    <w:rsid w:val="00564E0C"/>
    <w:rsid w:val="0056551D"/>
    <w:rsid w:val="00591646"/>
    <w:rsid w:val="005A262E"/>
    <w:rsid w:val="005A590A"/>
    <w:rsid w:val="005B0B83"/>
    <w:rsid w:val="005B3E38"/>
    <w:rsid w:val="005D08B4"/>
    <w:rsid w:val="005D2A01"/>
    <w:rsid w:val="005E2E75"/>
    <w:rsid w:val="005E2EAF"/>
    <w:rsid w:val="005F3CF0"/>
    <w:rsid w:val="006030FE"/>
    <w:rsid w:val="00621F54"/>
    <w:rsid w:val="0062448F"/>
    <w:rsid w:val="00634621"/>
    <w:rsid w:val="00645FFA"/>
    <w:rsid w:val="00646B37"/>
    <w:rsid w:val="00654026"/>
    <w:rsid w:val="00664D69"/>
    <w:rsid w:val="006702E6"/>
    <w:rsid w:val="00696AC5"/>
    <w:rsid w:val="006A0E78"/>
    <w:rsid w:val="006A25CE"/>
    <w:rsid w:val="006A3B07"/>
    <w:rsid w:val="006B3FC2"/>
    <w:rsid w:val="006C4ED3"/>
    <w:rsid w:val="006C74B7"/>
    <w:rsid w:val="006E1C5D"/>
    <w:rsid w:val="006E47C0"/>
    <w:rsid w:val="006E4C44"/>
    <w:rsid w:val="006E4E59"/>
    <w:rsid w:val="006E5CCA"/>
    <w:rsid w:val="006E7806"/>
    <w:rsid w:val="006F34B5"/>
    <w:rsid w:val="006F3A68"/>
    <w:rsid w:val="006F4EDA"/>
    <w:rsid w:val="006F5F7E"/>
    <w:rsid w:val="006F7ABC"/>
    <w:rsid w:val="007017B3"/>
    <w:rsid w:val="00706D7E"/>
    <w:rsid w:val="00713E6B"/>
    <w:rsid w:val="00717DDA"/>
    <w:rsid w:val="00721C4C"/>
    <w:rsid w:val="007230E4"/>
    <w:rsid w:val="0072479E"/>
    <w:rsid w:val="007307E7"/>
    <w:rsid w:val="007310DF"/>
    <w:rsid w:val="00735602"/>
    <w:rsid w:val="00735F02"/>
    <w:rsid w:val="00742186"/>
    <w:rsid w:val="00746562"/>
    <w:rsid w:val="007537D0"/>
    <w:rsid w:val="00757CD3"/>
    <w:rsid w:val="007623FF"/>
    <w:rsid w:val="00766BE6"/>
    <w:rsid w:val="007728FD"/>
    <w:rsid w:val="00775AA8"/>
    <w:rsid w:val="00776E42"/>
    <w:rsid w:val="00780FD4"/>
    <w:rsid w:val="007875DD"/>
    <w:rsid w:val="00790870"/>
    <w:rsid w:val="00790ABA"/>
    <w:rsid w:val="00791D43"/>
    <w:rsid w:val="0079246D"/>
    <w:rsid w:val="007A4C9E"/>
    <w:rsid w:val="007A63D6"/>
    <w:rsid w:val="007B2510"/>
    <w:rsid w:val="007B3448"/>
    <w:rsid w:val="007B4842"/>
    <w:rsid w:val="007C72A1"/>
    <w:rsid w:val="007E05ED"/>
    <w:rsid w:val="007E61EE"/>
    <w:rsid w:val="007F13BB"/>
    <w:rsid w:val="007F2124"/>
    <w:rsid w:val="0080151B"/>
    <w:rsid w:val="0080175E"/>
    <w:rsid w:val="0080479E"/>
    <w:rsid w:val="00820019"/>
    <w:rsid w:val="00823856"/>
    <w:rsid w:val="008277E0"/>
    <w:rsid w:val="00830619"/>
    <w:rsid w:val="00837F8D"/>
    <w:rsid w:val="00842B5E"/>
    <w:rsid w:val="008518DD"/>
    <w:rsid w:val="00853FE7"/>
    <w:rsid w:val="00854666"/>
    <w:rsid w:val="008619FA"/>
    <w:rsid w:val="008631C6"/>
    <w:rsid w:val="008633DD"/>
    <w:rsid w:val="008667D3"/>
    <w:rsid w:val="00872762"/>
    <w:rsid w:val="00872F2D"/>
    <w:rsid w:val="008771D4"/>
    <w:rsid w:val="00890DFA"/>
    <w:rsid w:val="00891154"/>
    <w:rsid w:val="0089260C"/>
    <w:rsid w:val="00893176"/>
    <w:rsid w:val="008941F4"/>
    <w:rsid w:val="008A4037"/>
    <w:rsid w:val="008A5175"/>
    <w:rsid w:val="008B0343"/>
    <w:rsid w:val="008B0A6B"/>
    <w:rsid w:val="008B21A0"/>
    <w:rsid w:val="008B5955"/>
    <w:rsid w:val="008D3D73"/>
    <w:rsid w:val="008D7FDF"/>
    <w:rsid w:val="008F1578"/>
    <w:rsid w:val="008F3824"/>
    <w:rsid w:val="008F4229"/>
    <w:rsid w:val="00903305"/>
    <w:rsid w:val="00904F6C"/>
    <w:rsid w:val="00906615"/>
    <w:rsid w:val="009074B6"/>
    <w:rsid w:val="00911D50"/>
    <w:rsid w:val="009131FC"/>
    <w:rsid w:val="009137F2"/>
    <w:rsid w:val="00913E41"/>
    <w:rsid w:val="00916611"/>
    <w:rsid w:val="00916C2E"/>
    <w:rsid w:val="00916FA7"/>
    <w:rsid w:val="009218E0"/>
    <w:rsid w:val="00921DA1"/>
    <w:rsid w:val="009265CA"/>
    <w:rsid w:val="0093310B"/>
    <w:rsid w:val="009468A7"/>
    <w:rsid w:val="009473D3"/>
    <w:rsid w:val="00953D61"/>
    <w:rsid w:val="00954925"/>
    <w:rsid w:val="0096729E"/>
    <w:rsid w:val="00977401"/>
    <w:rsid w:val="009813D7"/>
    <w:rsid w:val="0098759E"/>
    <w:rsid w:val="00990A88"/>
    <w:rsid w:val="00990CFA"/>
    <w:rsid w:val="0099558F"/>
    <w:rsid w:val="009A0356"/>
    <w:rsid w:val="009A50E0"/>
    <w:rsid w:val="009A581C"/>
    <w:rsid w:val="009B1A0E"/>
    <w:rsid w:val="009B2791"/>
    <w:rsid w:val="009C208C"/>
    <w:rsid w:val="009C272F"/>
    <w:rsid w:val="009C28A3"/>
    <w:rsid w:val="009D1817"/>
    <w:rsid w:val="009D1D4F"/>
    <w:rsid w:val="009F3351"/>
    <w:rsid w:val="009F5CD5"/>
    <w:rsid w:val="009F5D63"/>
    <w:rsid w:val="00A007CC"/>
    <w:rsid w:val="00A14531"/>
    <w:rsid w:val="00A17A65"/>
    <w:rsid w:val="00A2373A"/>
    <w:rsid w:val="00A347DB"/>
    <w:rsid w:val="00A451F0"/>
    <w:rsid w:val="00A45A98"/>
    <w:rsid w:val="00A46611"/>
    <w:rsid w:val="00A642F5"/>
    <w:rsid w:val="00A659F7"/>
    <w:rsid w:val="00A72CA2"/>
    <w:rsid w:val="00A74761"/>
    <w:rsid w:val="00A7654B"/>
    <w:rsid w:val="00A902BE"/>
    <w:rsid w:val="00A92E55"/>
    <w:rsid w:val="00A93036"/>
    <w:rsid w:val="00A93137"/>
    <w:rsid w:val="00AA0400"/>
    <w:rsid w:val="00AA4FD4"/>
    <w:rsid w:val="00AA58BA"/>
    <w:rsid w:val="00AB42B8"/>
    <w:rsid w:val="00AB6AD9"/>
    <w:rsid w:val="00AB7C45"/>
    <w:rsid w:val="00AE2A66"/>
    <w:rsid w:val="00AE32FA"/>
    <w:rsid w:val="00AE3879"/>
    <w:rsid w:val="00AE4022"/>
    <w:rsid w:val="00AE4FA7"/>
    <w:rsid w:val="00AF7967"/>
    <w:rsid w:val="00B01BF5"/>
    <w:rsid w:val="00B02C22"/>
    <w:rsid w:val="00B02D04"/>
    <w:rsid w:val="00B0302E"/>
    <w:rsid w:val="00B0502A"/>
    <w:rsid w:val="00B105C4"/>
    <w:rsid w:val="00B10694"/>
    <w:rsid w:val="00B14E0B"/>
    <w:rsid w:val="00B1655D"/>
    <w:rsid w:val="00B16CA2"/>
    <w:rsid w:val="00B21B00"/>
    <w:rsid w:val="00B22E8B"/>
    <w:rsid w:val="00B336E2"/>
    <w:rsid w:val="00B35274"/>
    <w:rsid w:val="00B35B6A"/>
    <w:rsid w:val="00B40005"/>
    <w:rsid w:val="00B44990"/>
    <w:rsid w:val="00B46B65"/>
    <w:rsid w:val="00B51007"/>
    <w:rsid w:val="00B54821"/>
    <w:rsid w:val="00B57976"/>
    <w:rsid w:val="00B60ADB"/>
    <w:rsid w:val="00B61157"/>
    <w:rsid w:val="00B62331"/>
    <w:rsid w:val="00B63D44"/>
    <w:rsid w:val="00B64198"/>
    <w:rsid w:val="00B7294A"/>
    <w:rsid w:val="00B74AF7"/>
    <w:rsid w:val="00B7667F"/>
    <w:rsid w:val="00B76AF1"/>
    <w:rsid w:val="00B76F23"/>
    <w:rsid w:val="00B777C5"/>
    <w:rsid w:val="00B80F12"/>
    <w:rsid w:val="00B828E4"/>
    <w:rsid w:val="00B9032C"/>
    <w:rsid w:val="00B9152B"/>
    <w:rsid w:val="00B920DF"/>
    <w:rsid w:val="00B94AAB"/>
    <w:rsid w:val="00BB2271"/>
    <w:rsid w:val="00BB4A10"/>
    <w:rsid w:val="00BC4812"/>
    <w:rsid w:val="00BC6608"/>
    <w:rsid w:val="00BD1041"/>
    <w:rsid w:val="00BD4CDE"/>
    <w:rsid w:val="00BD65BF"/>
    <w:rsid w:val="00BD752B"/>
    <w:rsid w:val="00BE210E"/>
    <w:rsid w:val="00C01E54"/>
    <w:rsid w:val="00C06095"/>
    <w:rsid w:val="00C1155B"/>
    <w:rsid w:val="00C14578"/>
    <w:rsid w:val="00C17292"/>
    <w:rsid w:val="00C318A9"/>
    <w:rsid w:val="00C3328F"/>
    <w:rsid w:val="00C37EF7"/>
    <w:rsid w:val="00C42255"/>
    <w:rsid w:val="00C43753"/>
    <w:rsid w:val="00C448CB"/>
    <w:rsid w:val="00C46BB8"/>
    <w:rsid w:val="00C47DCA"/>
    <w:rsid w:val="00C501CE"/>
    <w:rsid w:val="00C5687C"/>
    <w:rsid w:val="00C56B53"/>
    <w:rsid w:val="00C67AE9"/>
    <w:rsid w:val="00C73A21"/>
    <w:rsid w:val="00C74807"/>
    <w:rsid w:val="00C7520B"/>
    <w:rsid w:val="00C80EE3"/>
    <w:rsid w:val="00CA2572"/>
    <w:rsid w:val="00CA7A6F"/>
    <w:rsid w:val="00CA7D66"/>
    <w:rsid w:val="00CB1B03"/>
    <w:rsid w:val="00CB1BC7"/>
    <w:rsid w:val="00CB32F4"/>
    <w:rsid w:val="00CD47FB"/>
    <w:rsid w:val="00CD4CAF"/>
    <w:rsid w:val="00CE47E6"/>
    <w:rsid w:val="00CE5427"/>
    <w:rsid w:val="00CE6FDE"/>
    <w:rsid w:val="00CE7C5A"/>
    <w:rsid w:val="00CF0350"/>
    <w:rsid w:val="00CF1AD1"/>
    <w:rsid w:val="00CF3740"/>
    <w:rsid w:val="00CF3E27"/>
    <w:rsid w:val="00CF41F7"/>
    <w:rsid w:val="00CF43EA"/>
    <w:rsid w:val="00CF4F47"/>
    <w:rsid w:val="00CF7880"/>
    <w:rsid w:val="00D0473E"/>
    <w:rsid w:val="00D06EEB"/>
    <w:rsid w:val="00D106E5"/>
    <w:rsid w:val="00D15682"/>
    <w:rsid w:val="00D20029"/>
    <w:rsid w:val="00D22EC5"/>
    <w:rsid w:val="00D231A0"/>
    <w:rsid w:val="00D25B6B"/>
    <w:rsid w:val="00D31B6E"/>
    <w:rsid w:val="00D461CF"/>
    <w:rsid w:val="00D53EFB"/>
    <w:rsid w:val="00D6247A"/>
    <w:rsid w:val="00D71688"/>
    <w:rsid w:val="00D71ADA"/>
    <w:rsid w:val="00D76F55"/>
    <w:rsid w:val="00D773B2"/>
    <w:rsid w:val="00D814FB"/>
    <w:rsid w:val="00D84A40"/>
    <w:rsid w:val="00D90CAE"/>
    <w:rsid w:val="00DB349A"/>
    <w:rsid w:val="00DB78C0"/>
    <w:rsid w:val="00DC0E55"/>
    <w:rsid w:val="00DC32AA"/>
    <w:rsid w:val="00DC74E5"/>
    <w:rsid w:val="00DD2C5B"/>
    <w:rsid w:val="00DD4151"/>
    <w:rsid w:val="00DD4E05"/>
    <w:rsid w:val="00DD6EF4"/>
    <w:rsid w:val="00DE5F25"/>
    <w:rsid w:val="00DE6046"/>
    <w:rsid w:val="00DF2A87"/>
    <w:rsid w:val="00E00710"/>
    <w:rsid w:val="00E04E93"/>
    <w:rsid w:val="00E0594D"/>
    <w:rsid w:val="00E10D0A"/>
    <w:rsid w:val="00E273DC"/>
    <w:rsid w:val="00E30F0B"/>
    <w:rsid w:val="00E32324"/>
    <w:rsid w:val="00E34D2D"/>
    <w:rsid w:val="00E4124C"/>
    <w:rsid w:val="00E426AE"/>
    <w:rsid w:val="00E47DB0"/>
    <w:rsid w:val="00E501CF"/>
    <w:rsid w:val="00E521DD"/>
    <w:rsid w:val="00E52943"/>
    <w:rsid w:val="00E61B55"/>
    <w:rsid w:val="00E636C4"/>
    <w:rsid w:val="00E63F6D"/>
    <w:rsid w:val="00E65314"/>
    <w:rsid w:val="00E66171"/>
    <w:rsid w:val="00E848C2"/>
    <w:rsid w:val="00E9369F"/>
    <w:rsid w:val="00E953C9"/>
    <w:rsid w:val="00EA0027"/>
    <w:rsid w:val="00EA532A"/>
    <w:rsid w:val="00EB342C"/>
    <w:rsid w:val="00EB75A1"/>
    <w:rsid w:val="00EB7DB2"/>
    <w:rsid w:val="00EC45DF"/>
    <w:rsid w:val="00EC6507"/>
    <w:rsid w:val="00ED0274"/>
    <w:rsid w:val="00ED1375"/>
    <w:rsid w:val="00ED2268"/>
    <w:rsid w:val="00ED6B30"/>
    <w:rsid w:val="00EE0BB8"/>
    <w:rsid w:val="00EE3CF8"/>
    <w:rsid w:val="00EE6A08"/>
    <w:rsid w:val="00EE76C7"/>
    <w:rsid w:val="00F01853"/>
    <w:rsid w:val="00F019AD"/>
    <w:rsid w:val="00F01B0E"/>
    <w:rsid w:val="00F02C0A"/>
    <w:rsid w:val="00F06A7C"/>
    <w:rsid w:val="00F13B8F"/>
    <w:rsid w:val="00F13F89"/>
    <w:rsid w:val="00F26D23"/>
    <w:rsid w:val="00F30000"/>
    <w:rsid w:val="00F31172"/>
    <w:rsid w:val="00F32FA7"/>
    <w:rsid w:val="00F40805"/>
    <w:rsid w:val="00F408A0"/>
    <w:rsid w:val="00F41837"/>
    <w:rsid w:val="00F4737C"/>
    <w:rsid w:val="00F60AF3"/>
    <w:rsid w:val="00F61EEE"/>
    <w:rsid w:val="00F7465C"/>
    <w:rsid w:val="00F7528A"/>
    <w:rsid w:val="00F81B6D"/>
    <w:rsid w:val="00F82BB4"/>
    <w:rsid w:val="00F86DE8"/>
    <w:rsid w:val="00F90201"/>
    <w:rsid w:val="00F93EC3"/>
    <w:rsid w:val="00F94F67"/>
    <w:rsid w:val="00FA1DF2"/>
    <w:rsid w:val="00FC0028"/>
    <w:rsid w:val="00FC03EE"/>
    <w:rsid w:val="00FC6C73"/>
    <w:rsid w:val="00FD2C5D"/>
    <w:rsid w:val="00FD481D"/>
    <w:rsid w:val="00FD67CE"/>
    <w:rsid w:val="00FD7FE4"/>
    <w:rsid w:val="00FE795C"/>
    <w:rsid w:val="00FF4C4E"/>
    <w:rsid w:val="00FF6FFA"/>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F4C41"/>
  <w15:docId w15:val="{AA2AD0D8-6C88-4EFF-B2C6-45805F72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paragraph" w:styleId="Heading1">
    <w:name w:val="heading 1"/>
    <w:basedOn w:val="Normal"/>
    <w:next w:val="Normal"/>
    <w:link w:val="Heading1Char"/>
    <w:qFormat/>
    <w:rsid w:val="00E661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F06A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paragraph" w:styleId="NoSpacing">
    <w:name w:val="No Spacing"/>
    <w:uiPriority w:val="1"/>
    <w:qFormat/>
    <w:rsid w:val="009074B6"/>
    <w:pPr>
      <w:jc w:val="both"/>
    </w:pPr>
    <w:rPr>
      <w:rFonts w:ascii="Arial" w:hAnsi="Arial"/>
      <w:sz w:val="22"/>
      <w:szCs w:val="22"/>
    </w:rPr>
  </w:style>
  <w:style w:type="character" w:customStyle="1" w:styleId="legdslegrhslegp2text1">
    <w:name w:val="legds legrhs legp2text1"/>
    <w:rsid w:val="009074B6"/>
  </w:style>
  <w:style w:type="paragraph" w:styleId="ListParagraph">
    <w:name w:val="List Paragraph"/>
    <w:basedOn w:val="Normal"/>
    <w:uiPriority w:val="34"/>
    <w:qFormat/>
    <w:rsid w:val="009074B6"/>
    <w:pPr>
      <w:ind w:left="720"/>
      <w:jc w:val="left"/>
    </w:pPr>
    <w:rPr>
      <w:szCs w:val="20"/>
    </w:rPr>
  </w:style>
  <w:style w:type="character" w:styleId="Hyperlink">
    <w:name w:val="Hyperlink"/>
    <w:rsid w:val="00465F27"/>
    <w:rPr>
      <w:color w:val="0000FF"/>
      <w:u w:val="single"/>
    </w:rPr>
  </w:style>
  <w:style w:type="paragraph" w:styleId="BalloonText">
    <w:name w:val="Balloon Text"/>
    <w:basedOn w:val="Normal"/>
    <w:link w:val="BalloonTextChar"/>
    <w:rsid w:val="00B94AAB"/>
    <w:rPr>
      <w:rFonts w:ascii="Tahoma" w:hAnsi="Tahoma" w:cs="Tahoma"/>
      <w:sz w:val="16"/>
      <w:szCs w:val="16"/>
    </w:rPr>
  </w:style>
  <w:style w:type="character" w:customStyle="1" w:styleId="BalloonTextChar">
    <w:name w:val="Balloon Text Char"/>
    <w:link w:val="BalloonText"/>
    <w:rsid w:val="00B94AAB"/>
    <w:rPr>
      <w:rFonts w:ascii="Tahoma" w:hAnsi="Tahoma" w:cs="Tahoma"/>
      <w:sz w:val="16"/>
      <w:szCs w:val="16"/>
    </w:rPr>
  </w:style>
  <w:style w:type="character" w:styleId="CommentReference">
    <w:name w:val="annotation reference"/>
    <w:rsid w:val="002C4E6F"/>
    <w:rPr>
      <w:sz w:val="16"/>
      <w:szCs w:val="16"/>
    </w:rPr>
  </w:style>
  <w:style w:type="paragraph" w:styleId="CommentText">
    <w:name w:val="annotation text"/>
    <w:basedOn w:val="Normal"/>
    <w:link w:val="CommentTextChar"/>
    <w:rsid w:val="002C4E6F"/>
    <w:rPr>
      <w:sz w:val="20"/>
      <w:szCs w:val="20"/>
    </w:rPr>
  </w:style>
  <w:style w:type="character" w:customStyle="1" w:styleId="CommentTextChar">
    <w:name w:val="Comment Text Char"/>
    <w:link w:val="CommentText"/>
    <w:rsid w:val="002C4E6F"/>
    <w:rPr>
      <w:rFonts w:ascii="Arial" w:hAnsi="Arial"/>
    </w:rPr>
  </w:style>
  <w:style w:type="paragraph" w:styleId="CommentSubject">
    <w:name w:val="annotation subject"/>
    <w:basedOn w:val="CommentText"/>
    <w:next w:val="CommentText"/>
    <w:link w:val="CommentSubjectChar"/>
    <w:rsid w:val="002C4E6F"/>
    <w:rPr>
      <w:b/>
      <w:bCs/>
    </w:rPr>
  </w:style>
  <w:style w:type="character" w:customStyle="1" w:styleId="CommentSubjectChar">
    <w:name w:val="Comment Subject Char"/>
    <w:link w:val="CommentSubject"/>
    <w:rsid w:val="002C4E6F"/>
    <w:rPr>
      <w:rFonts w:ascii="Arial" w:hAnsi="Arial"/>
      <w:b/>
      <w:bCs/>
    </w:rPr>
  </w:style>
  <w:style w:type="paragraph" w:styleId="NormalWeb">
    <w:name w:val="Normal (Web)"/>
    <w:basedOn w:val="Normal"/>
    <w:uiPriority w:val="99"/>
    <w:unhideWhenUsed/>
    <w:rsid w:val="003D20D6"/>
    <w:pPr>
      <w:spacing w:before="240" w:after="240" w:line="360" w:lineRule="atLeast"/>
      <w:jc w:val="left"/>
    </w:pPr>
    <w:rPr>
      <w:rFonts w:ascii="Times New Roman" w:hAnsi="Times New Roman"/>
      <w:sz w:val="24"/>
      <w:szCs w:val="24"/>
    </w:rPr>
  </w:style>
  <w:style w:type="character" w:customStyle="1" w:styleId="Heading1Char">
    <w:name w:val="Heading 1 Char"/>
    <w:basedOn w:val="DefaultParagraphFont"/>
    <w:link w:val="Heading1"/>
    <w:rsid w:val="00E661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F06A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5087">
      <w:bodyDiv w:val="1"/>
      <w:marLeft w:val="0"/>
      <w:marRight w:val="0"/>
      <w:marTop w:val="0"/>
      <w:marBottom w:val="0"/>
      <w:divBdr>
        <w:top w:val="none" w:sz="0" w:space="0" w:color="auto"/>
        <w:left w:val="none" w:sz="0" w:space="0" w:color="auto"/>
        <w:bottom w:val="none" w:sz="0" w:space="0" w:color="auto"/>
        <w:right w:val="none" w:sz="0" w:space="0" w:color="auto"/>
      </w:divBdr>
    </w:div>
    <w:div w:id="210460650">
      <w:bodyDiv w:val="1"/>
      <w:marLeft w:val="0"/>
      <w:marRight w:val="0"/>
      <w:marTop w:val="0"/>
      <w:marBottom w:val="0"/>
      <w:divBdr>
        <w:top w:val="none" w:sz="0" w:space="0" w:color="auto"/>
        <w:left w:val="none" w:sz="0" w:space="0" w:color="auto"/>
        <w:bottom w:val="none" w:sz="0" w:space="0" w:color="auto"/>
        <w:right w:val="none" w:sz="0" w:space="0" w:color="auto"/>
      </w:divBdr>
    </w:div>
    <w:div w:id="225576096">
      <w:bodyDiv w:val="1"/>
      <w:marLeft w:val="0"/>
      <w:marRight w:val="0"/>
      <w:marTop w:val="0"/>
      <w:marBottom w:val="0"/>
      <w:divBdr>
        <w:top w:val="none" w:sz="0" w:space="0" w:color="auto"/>
        <w:left w:val="none" w:sz="0" w:space="0" w:color="auto"/>
        <w:bottom w:val="none" w:sz="0" w:space="0" w:color="auto"/>
        <w:right w:val="none" w:sz="0" w:space="0" w:color="auto"/>
      </w:divBdr>
    </w:div>
    <w:div w:id="235361883">
      <w:bodyDiv w:val="1"/>
      <w:marLeft w:val="0"/>
      <w:marRight w:val="0"/>
      <w:marTop w:val="0"/>
      <w:marBottom w:val="0"/>
      <w:divBdr>
        <w:top w:val="none" w:sz="0" w:space="0" w:color="auto"/>
        <w:left w:val="none" w:sz="0" w:space="0" w:color="auto"/>
        <w:bottom w:val="none" w:sz="0" w:space="0" w:color="auto"/>
        <w:right w:val="none" w:sz="0" w:space="0" w:color="auto"/>
      </w:divBdr>
    </w:div>
    <w:div w:id="284507435">
      <w:bodyDiv w:val="1"/>
      <w:marLeft w:val="0"/>
      <w:marRight w:val="0"/>
      <w:marTop w:val="0"/>
      <w:marBottom w:val="0"/>
      <w:divBdr>
        <w:top w:val="none" w:sz="0" w:space="0" w:color="auto"/>
        <w:left w:val="none" w:sz="0" w:space="0" w:color="auto"/>
        <w:bottom w:val="none" w:sz="0" w:space="0" w:color="auto"/>
        <w:right w:val="none" w:sz="0" w:space="0" w:color="auto"/>
      </w:divBdr>
    </w:div>
    <w:div w:id="425809000">
      <w:bodyDiv w:val="1"/>
      <w:marLeft w:val="0"/>
      <w:marRight w:val="0"/>
      <w:marTop w:val="0"/>
      <w:marBottom w:val="0"/>
      <w:divBdr>
        <w:top w:val="none" w:sz="0" w:space="0" w:color="auto"/>
        <w:left w:val="none" w:sz="0" w:space="0" w:color="auto"/>
        <w:bottom w:val="none" w:sz="0" w:space="0" w:color="auto"/>
        <w:right w:val="none" w:sz="0" w:space="0" w:color="auto"/>
      </w:divBdr>
    </w:div>
    <w:div w:id="596449726">
      <w:bodyDiv w:val="1"/>
      <w:marLeft w:val="0"/>
      <w:marRight w:val="0"/>
      <w:marTop w:val="0"/>
      <w:marBottom w:val="0"/>
      <w:divBdr>
        <w:top w:val="none" w:sz="0" w:space="0" w:color="auto"/>
        <w:left w:val="none" w:sz="0" w:space="0" w:color="auto"/>
        <w:bottom w:val="none" w:sz="0" w:space="0" w:color="auto"/>
        <w:right w:val="none" w:sz="0" w:space="0" w:color="auto"/>
      </w:divBdr>
    </w:div>
    <w:div w:id="634144012">
      <w:bodyDiv w:val="1"/>
      <w:marLeft w:val="0"/>
      <w:marRight w:val="0"/>
      <w:marTop w:val="0"/>
      <w:marBottom w:val="0"/>
      <w:divBdr>
        <w:top w:val="none" w:sz="0" w:space="0" w:color="auto"/>
        <w:left w:val="none" w:sz="0" w:space="0" w:color="auto"/>
        <w:bottom w:val="none" w:sz="0" w:space="0" w:color="auto"/>
        <w:right w:val="none" w:sz="0" w:space="0" w:color="auto"/>
      </w:divBdr>
      <w:divsChild>
        <w:div w:id="1954482441">
          <w:marLeft w:val="0"/>
          <w:marRight w:val="0"/>
          <w:marTop w:val="0"/>
          <w:marBottom w:val="0"/>
          <w:divBdr>
            <w:top w:val="none" w:sz="0" w:space="0" w:color="auto"/>
            <w:left w:val="none" w:sz="0" w:space="0" w:color="auto"/>
            <w:bottom w:val="none" w:sz="0" w:space="0" w:color="auto"/>
            <w:right w:val="none" w:sz="0" w:space="0" w:color="auto"/>
          </w:divBdr>
          <w:divsChild>
            <w:div w:id="2122138985">
              <w:marLeft w:val="0"/>
              <w:marRight w:val="0"/>
              <w:marTop w:val="0"/>
              <w:marBottom w:val="0"/>
              <w:divBdr>
                <w:top w:val="none" w:sz="0" w:space="0" w:color="auto"/>
                <w:left w:val="none" w:sz="0" w:space="0" w:color="auto"/>
                <w:bottom w:val="none" w:sz="0" w:space="0" w:color="auto"/>
                <w:right w:val="none" w:sz="0" w:space="0" w:color="auto"/>
              </w:divBdr>
              <w:divsChild>
                <w:div w:id="54789817">
                  <w:marLeft w:val="240"/>
                  <w:marRight w:val="240"/>
                  <w:marTop w:val="240"/>
                  <w:marBottom w:val="240"/>
                  <w:divBdr>
                    <w:top w:val="none" w:sz="0" w:space="0" w:color="auto"/>
                    <w:left w:val="none" w:sz="0" w:space="0" w:color="auto"/>
                    <w:bottom w:val="none" w:sz="0" w:space="0" w:color="auto"/>
                    <w:right w:val="none" w:sz="0" w:space="0" w:color="auto"/>
                  </w:divBdr>
                  <w:divsChild>
                    <w:div w:id="1037269207">
                      <w:marLeft w:val="0"/>
                      <w:marRight w:val="0"/>
                      <w:marTop w:val="0"/>
                      <w:marBottom w:val="0"/>
                      <w:divBdr>
                        <w:top w:val="none" w:sz="0" w:space="0" w:color="auto"/>
                        <w:left w:val="none" w:sz="0" w:space="0" w:color="auto"/>
                        <w:bottom w:val="none" w:sz="0" w:space="0" w:color="auto"/>
                        <w:right w:val="none" w:sz="0" w:space="0" w:color="auto"/>
                      </w:divBdr>
                      <w:divsChild>
                        <w:div w:id="288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49990">
      <w:bodyDiv w:val="1"/>
      <w:marLeft w:val="0"/>
      <w:marRight w:val="0"/>
      <w:marTop w:val="0"/>
      <w:marBottom w:val="0"/>
      <w:divBdr>
        <w:top w:val="none" w:sz="0" w:space="0" w:color="auto"/>
        <w:left w:val="none" w:sz="0" w:space="0" w:color="auto"/>
        <w:bottom w:val="none" w:sz="0" w:space="0" w:color="auto"/>
        <w:right w:val="none" w:sz="0" w:space="0" w:color="auto"/>
      </w:divBdr>
    </w:div>
    <w:div w:id="738866986">
      <w:bodyDiv w:val="1"/>
      <w:marLeft w:val="0"/>
      <w:marRight w:val="0"/>
      <w:marTop w:val="0"/>
      <w:marBottom w:val="0"/>
      <w:divBdr>
        <w:top w:val="none" w:sz="0" w:space="0" w:color="auto"/>
        <w:left w:val="none" w:sz="0" w:space="0" w:color="auto"/>
        <w:bottom w:val="none" w:sz="0" w:space="0" w:color="auto"/>
        <w:right w:val="none" w:sz="0" w:space="0" w:color="auto"/>
      </w:divBdr>
    </w:div>
    <w:div w:id="757943082">
      <w:bodyDiv w:val="1"/>
      <w:marLeft w:val="0"/>
      <w:marRight w:val="0"/>
      <w:marTop w:val="0"/>
      <w:marBottom w:val="0"/>
      <w:divBdr>
        <w:top w:val="none" w:sz="0" w:space="0" w:color="auto"/>
        <w:left w:val="none" w:sz="0" w:space="0" w:color="auto"/>
        <w:bottom w:val="none" w:sz="0" w:space="0" w:color="auto"/>
        <w:right w:val="none" w:sz="0" w:space="0" w:color="auto"/>
      </w:divBdr>
      <w:divsChild>
        <w:div w:id="2027363087">
          <w:marLeft w:val="0"/>
          <w:marRight w:val="0"/>
          <w:marTop w:val="0"/>
          <w:marBottom w:val="0"/>
          <w:divBdr>
            <w:top w:val="none" w:sz="0" w:space="0" w:color="auto"/>
            <w:left w:val="none" w:sz="0" w:space="0" w:color="auto"/>
            <w:bottom w:val="none" w:sz="0" w:space="0" w:color="auto"/>
            <w:right w:val="none" w:sz="0" w:space="0" w:color="auto"/>
          </w:divBdr>
          <w:divsChild>
            <w:div w:id="231889726">
              <w:marLeft w:val="0"/>
              <w:marRight w:val="0"/>
              <w:marTop w:val="0"/>
              <w:marBottom w:val="0"/>
              <w:divBdr>
                <w:top w:val="none" w:sz="0" w:space="0" w:color="auto"/>
                <w:left w:val="none" w:sz="0" w:space="0" w:color="auto"/>
                <w:bottom w:val="none" w:sz="0" w:space="0" w:color="auto"/>
                <w:right w:val="none" w:sz="0" w:space="0" w:color="auto"/>
              </w:divBdr>
            </w:div>
          </w:divsChild>
        </w:div>
        <w:div w:id="2070570420">
          <w:marLeft w:val="0"/>
          <w:marRight w:val="0"/>
          <w:marTop w:val="0"/>
          <w:marBottom w:val="0"/>
          <w:divBdr>
            <w:top w:val="none" w:sz="0" w:space="0" w:color="auto"/>
            <w:left w:val="none" w:sz="0" w:space="0" w:color="auto"/>
            <w:bottom w:val="none" w:sz="0" w:space="0" w:color="auto"/>
            <w:right w:val="none" w:sz="0" w:space="0" w:color="auto"/>
          </w:divBdr>
          <w:divsChild>
            <w:div w:id="564872453">
              <w:marLeft w:val="0"/>
              <w:marRight w:val="0"/>
              <w:marTop w:val="0"/>
              <w:marBottom w:val="0"/>
              <w:divBdr>
                <w:top w:val="none" w:sz="0" w:space="0" w:color="auto"/>
                <w:left w:val="none" w:sz="0" w:space="0" w:color="auto"/>
                <w:bottom w:val="none" w:sz="0" w:space="0" w:color="auto"/>
                <w:right w:val="none" w:sz="0" w:space="0" w:color="auto"/>
              </w:divBdr>
            </w:div>
          </w:divsChild>
        </w:div>
        <w:div w:id="1272473358">
          <w:marLeft w:val="0"/>
          <w:marRight w:val="0"/>
          <w:marTop w:val="0"/>
          <w:marBottom w:val="0"/>
          <w:divBdr>
            <w:top w:val="none" w:sz="0" w:space="0" w:color="auto"/>
            <w:left w:val="none" w:sz="0" w:space="0" w:color="auto"/>
            <w:bottom w:val="none" w:sz="0" w:space="0" w:color="auto"/>
            <w:right w:val="none" w:sz="0" w:space="0" w:color="auto"/>
          </w:divBdr>
          <w:divsChild>
            <w:div w:id="1216816383">
              <w:marLeft w:val="0"/>
              <w:marRight w:val="0"/>
              <w:marTop w:val="0"/>
              <w:marBottom w:val="0"/>
              <w:divBdr>
                <w:top w:val="none" w:sz="0" w:space="0" w:color="auto"/>
                <w:left w:val="none" w:sz="0" w:space="0" w:color="auto"/>
                <w:bottom w:val="none" w:sz="0" w:space="0" w:color="auto"/>
                <w:right w:val="none" w:sz="0" w:space="0" w:color="auto"/>
              </w:divBdr>
            </w:div>
          </w:divsChild>
        </w:div>
        <w:div w:id="1440487000">
          <w:marLeft w:val="0"/>
          <w:marRight w:val="0"/>
          <w:marTop w:val="0"/>
          <w:marBottom w:val="0"/>
          <w:divBdr>
            <w:top w:val="none" w:sz="0" w:space="0" w:color="auto"/>
            <w:left w:val="none" w:sz="0" w:space="0" w:color="auto"/>
            <w:bottom w:val="none" w:sz="0" w:space="0" w:color="auto"/>
            <w:right w:val="none" w:sz="0" w:space="0" w:color="auto"/>
          </w:divBdr>
          <w:divsChild>
            <w:div w:id="814680367">
              <w:marLeft w:val="0"/>
              <w:marRight w:val="0"/>
              <w:marTop w:val="0"/>
              <w:marBottom w:val="0"/>
              <w:divBdr>
                <w:top w:val="none" w:sz="0" w:space="0" w:color="auto"/>
                <w:left w:val="none" w:sz="0" w:space="0" w:color="auto"/>
                <w:bottom w:val="none" w:sz="0" w:space="0" w:color="auto"/>
                <w:right w:val="none" w:sz="0" w:space="0" w:color="auto"/>
              </w:divBdr>
            </w:div>
          </w:divsChild>
        </w:div>
        <w:div w:id="1884126145">
          <w:marLeft w:val="0"/>
          <w:marRight w:val="0"/>
          <w:marTop w:val="0"/>
          <w:marBottom w:val="0"/>
          <w:divBdr>
            <w:top w:val="none" w:sz="0" w:space="0" w:color="auto"/>
            <w:left w:val="none" w:sz="0" w:space="0" w:color="auto"/>
            <w:bottom w:val="none" w:sz="0" w:space="0" w:color="auto"/>
            <w:right w:val="none" w:sz="0" w:space="0" w:color="auto"/>
          </w:divBdr>
          <w:divsChild>
            <w:div w:id="990137632">
              <w:marLeft w:val="0"/>
              <w:marRight w:val="0"/>
              <w:marTop w:val="0"/>
              <w:marBottom w:val="0"/>
              <w:divBdr>
                <w:top w:val="none" w:sz="0" w:space="0" w:color="auto"/>
                <w:left w:val="none" w:sz="0" w:space="0" w:color="auto"/>
                <w:bottom w:val="none" w:sz="0" w:space="0" w:color="auto"/>
                <w:right w:val="none" w:sz="0" w:space="0" w:color="auto"/>
              </w:divBdr>
            </w:div>
          </w:divsChild>
        </w:div>
        <w:div w:id="1413357295">
          <w:marLeft w:val="0"/>
          <w:marRight w:val="0"/>
          <w:marTop w:val="0"/>
          <w:marBottom w:val="0"/>
          <w:divBdr>
            <w:top w:val="none" w:sz="0" w:space="0" w:color="auto"/>
            <w:left w:val="none" w:sz="0" w:space="0" w:color="auto"/>
            <w:bottom w:val="none" w:sz="0" w:space="0" w:color="auto"/>
            <w:right w:val="none" w:sz="0" w:space="0" w:color="auto"/>
          </w:divBdr>
        </w:div>
        <w:div w:id="506942098">
          <w:marLeft w:val="0"/>
          <w:marRight w:val="0"/>
          <w:marTop w:val="0"/>
          <w:marBottom w:val="0"/>
          <w:divBdr>
            <w:top w:val="none" w:sz="0" w:space="0" w:color="auto"/>
            <w:left w:val="none" w:sz="0" w:space="0" w:color="auto"/>
            <w:bottom w:val="none" w:sz="0" w:space="0" w:color="auto"/>
            <w:right w:val="none" w:sz="0" w:space="0" w:color="auto"/>
          </w:divBdr>
          <w:divsChild>
            <w:div w:id="1083069530">
              <w:marLeft w:val="0"/>
              <w:marRight w:val="0"/>
              <w:marTop w:val="0"/>
              <w:marBottom w:val="0"/>
              <w:divBdr>
                <w:top w:val="none" w:sz="0" w:space="0" w:color="auto"/>
                <w:left w:val="none" w:sz="0" w:space="0" w:color="auto"/>
                <w:bottom w:val="none" w:sz="0" w:space="0" w:color="auto"/>
                <w:right w:val="none" w:sz="0" w:space="0" w:color="auto"/>
              </w:divBdr>
            </w:div>
          </w:divsChild>
        </w:div>
        <w:div w:id="1873877476">
          <w:marLeft w:val="0"/>
          <w:marRight w:val="0"/>
          <w:marTop w:val="0"/>
          <w:marBottom w:val="0"/>
          <w:divBdr>
            <w:top w:val="none" w:sz="0" w:space="0" w:color="auto"/>
            <w:left w:val="none" w:sz="0" w:space="0" w:color="auto"/>
            <w:bottom w:val="none" w:sz="0" w:space="0" w:color="auto"/>
            <w:right w:val="none" w:sz="0" w:space="0" w:color="auto"/>
          </w:divBdr>
          <w:divsChild>
            <w:div w:id="1355885330">
              <w:marLeft w:val="0"/>
              <w:marRight w:val="0"/>
              <w:marTop w:val="0"/>
              <w:marBottom w:val="0"/>
              <w:divBdr>
                <w:top w:val="none" w:sz="0" w:space="0" w:color="auto"/>
                <w:left w:val="none" w:sz="0" w:space="0" w:color="auto"/>
                <w:bottom w:val="none" w:sz="0" w:space="0" w:color="auto"/>
                <w:right w:val="none" w:sz="0" w:space="0" w:color="auto"/>
              </w:divBdr>
            </w:div>
          </w:divsChild>
        </w:div>
        <w:div w:id="318659923">
          <w:marLeft w:val="0"/>
          <w:marRight w:val="0"/>
          <w:marTop w:val="0"/>
          <w:marBottom w:val="0"/>
          <w:divBdr>
            <w:top w:val="none" w:sz="0" w:space="0" w:color="auto"/>
            <w:left w:val="none" w:sz="0" w:space="0" w:color="auto"/>
            <w:bottom w:val="none" w:sz="0" w:space="0" w:color="auto"/>
            <w:right w:val="none" w:sz="0" w:space="0" w:color="auto"/>
          </w:divBdr>
          <w:divsChild>
            <w:div w:id="1111972751">
              <w:marLeft w:val="0"/>
              <w:marRight w:val="0"/>
              <w:marTop w:val="0"/>
              <w:marBottom w:val="0"/>
              <w:divBdr>
                <w:top w:val="none" w:sz="0" w:space="0" w:color="auto"/>
                <w:left w:val="none" w:sz="0" w:space="0" w:color="auto"/>
                <w:bottom w:val="none" w:sz="0" w:space="0" w:color="auto"/>
                <w:right w:val="none" w:sz="0" w:space="0" w:color="auto"/>
              </w:divBdr>
            </w:div>
          </w:divsChild>
        </w:div>
        <w:div w:id="1882787412">
          <w:marLeft w:val="0"/>
          <w:marRight w:val="0"/>
          <w:marTop w:val="0"/>
          <w:marBottom w:val="0"/>
          <w:divBdr>
            <w:top w:val="none" w:sz="0" w:space="0" w:color="auto"/>
            <w:left w:val="none" w:sz="0" w:space="0" w:color="auto"/>
            <w:bottom w:val="none" w:sz="0" w:space="0" w:color="auto"/>
            <w:right w:val="none" w:sz="0" w:space="0" w:color="auto"/>
          </w:divBdr>
          <w:divsChild>
            <w:div w:id="1277054784">
              <w:marLeft w:val="0"/>
              <w:marRight w:val="0"/>
              <w:marTop w:val="0"/>
              <w:marBottom w:val="0"/>
              <w:divBdr>
                <w:top w:val="none" w:sz="0" w:space="0" w:color="auto"/>
                <w:left w:val="none" w:sz="0" w:space="0" w:color="auto"/>
                <w:bottom w:val="none" w:sz="0" w:space="0" w:color="auto"/>
                <w:right w:val="none" w:sz="0" w:space="0" w:color="auto"/>
              </w:divBdr>
            </w:div>
          </w:divsChild>
        </w:div>
        <w:div w:id="900940983">
          <w:marLeft w:val="0"/>
          <w:marRight w:val="0"/>
          <w:marTop w:val="0"/>
          <w:marBottom w:val="0"/>
          <w:divBdr>
            <w:top w:val="none" w:sz="0" w:space="0" w:color="auto"/>
            <w:left w:val="none" w:sz="0" w:space="0" w:color="auto"/>
            <w:bottom w:val="none" w:sz="0" w:space="0" w:color="auto"/>
            <w:right w:val="none" w:sz="0" w:space="0" w:color="auto"/>
          </w:divBdr>
          <w:divsChild>
            <w:div w:id="1158693193">
              <w:marLeft w:val="0"/>
              <w:marRight w:val="0"/>
              <w:marTop w:val="0"/>
              <w:marBottom w:val="0"/>
              <w:divBdr>
                <w:top w:val="none" w:sz="0" w:space="0" w:color="auto"/>
                <w:left w:val="none" w:sz="0" w:space="0" w:color="auto"/>
                <w:bottom w:val="none" w:sz="0" w:space="0" w:color="auto"/>
                <w:right w:val="none" w:sz="0" w:space="0" w:color="auto"/>
              </w:divBdr>
            </w:div>
          </w:divsChild>
        </w:div>
        <w:div w:id="940449538">
          <w:marLeft w:val="0"/>
          <w:marRight w:val="0"/>
          <w:marTop w:val="0"/>
          <w:marBottom w:val="0"/>
          <w:divBdr>
            <w:top w:val="none" w:sz="0" w:space="0" w:color="auto"/>
            <w:left w:val="none" w:sz="0" w:space="0" w:color="auto"/>
            <w:bottom w:val="none" w:sz="0" w:space="0" w:color="auto"/>
            <w:right w:val="none" w:sz="0" w:space="0" w:color="auto"/>
          </w:divBdr>
          <w:divsChild>
            <w:div w:id="882399720">
              <w:marLeft w:val="0"/>
              <w:marRight w:val="0"/>
              <w:marTop w:val="0"/>
              <w:marBottom w:val="0"/>
              <w:divBdr>
                <w:top w:val="none" w:sz="0" w:space="0" w:color="auto"/>
                <w:left w:val="none" w:sz="0" w:space="0" w:color="auto"/>
                <w:bottom w:val="none" w:sz="0" w:space="0" w:color="auto"/>
                <w:right w:val="none" w:sz="0" w:space="0" w:color="auto"/>
              </w:divBdr>
            </w:div>
          </w:divsChild>
        </w:div>
        <w:div w:id="138110569">
          <w:marLeft w:val="0"/>
          <w:marRight w:val="0"/>
          <w:marTop w:val="0"/>
          <w:marBottom w:val="0"/>
          <w:divBdr>
            <w:top w:val="none" w:sz="0" w:space="0" w:color="auto"/>
            <w:left w:val="none" w:sz="0" w:space="0" w:color="auto"/>
            <w:bottom w:val="none" w:sz="0" w:space="0" w:color="auto"/>
            <w:right w:val="none" w:sz="0" w:space="0" w:color="auto"/>
          </w:divBdr>
          <w:divsChild>
            <w:div w:id="486240437">
              <w:marLeft w:val="0"/>
              <w:marRight w:val="0"/>
              <w:marTop w:val="0"/>
              <w:marBottom w:val="0"/>
              <w:divBdr>
                <w:top w:val="none" w:sz="0" w:space="0" w:color="auto"/>
                <w:left w:val="none" w:sz="0" w:space="0" w:color="auto"/>
                <w:bottom w:val="none" w:sz="0" w:space="0" w:color="auto"/>
                <w:right w:val="none" w:sz="0" w:space="0" w:color="auto"/>
              </w:divBdr>
            </w:div>
          </w:divsChild>
        </w:div>
        <w:div w:id="1865170080">
          <w:marLeft w:val="0"/>
          <w:marRight w:val="0"/>
          <w:marTop w:val="0"/>
          <w:marBottom w:val="0"/>
          <w:divBdr>
            <w:top w:val="none" w:sz="0" w:space="0" w:color="auto"/>
            <w:left w:val="none" w:sz="0" w:space="0" w:color="auto"/>
            <w:bottom w:val="none" w:sz="0" w:space="0" w:color="auto"/>
            <w:right w:val="none" w:sz="0" w:space="0" w:color="auto"/>
          </w:divBdr>
          <w:divsChild>
            <w:div w:id="1957635775">
              <w:marLeft w:val="0"/>
              <w:marRight w:val="0"/>
              <w:marTop w:val="0"/>
              <w:marBottom w:val="0"/>
              <w:divBdr>
                <w:top w:val="none" w:sz="0" w:space="0" w:color="auto"/>
                <w:left w:val="none" w:sz="0" w:space="0" w:color="auto"/>
                <w:bottom w:val="none" w:sz="0" w:space="0" w:color="auto"/>
                <w:right w:val="none" w:sz="0" w:space="0" w:color="auto"/>
              </w:divBdr>
            </w:div>
          </w:divsChild>
        </w:div>
        <w:div w:id="956177419">
          <w:marLeft w:val="0"/>
          <w:marRight w:val="0"/>
          <w:marTop w:val="0"/>
          <w:marBottom w:val="0"/>
          <w:divBdr>
            <w:top w:val="none" w:sz="0" w:space="0" w:color="auto"/>
            <w:left w:val="none" w:sz="0" w:space="0" w:color="auto"/>
            <w:bottom w:val="none" w:sz="0" w:space="0" w:color="auto"/>
            <w:right w:val="none" w:sz="0" w:space="0" w:color="auto"/>
          </w:divBdr>
          <w:divsChild>
            <w:div w:id="1562406511">
              <w:marLeft w:val="0"/>
              <w:marRight w:val="0"/>
              <w:marTop w:val="0"/>
              <w:marBottom w:val="0"/>
              <w:divBdr>
                <w:top w:val="none" w:sz="0" w:space="0" w:color="auto"/>
                <w:left w:val="none" w:sz="0" w:space="0" w:color="auto"/>
                <w:bottom w:val="none" w:sz="0" w:space="0" w:color="auto"/>
                <w:right w:val="none" w:sz="0" w:space="0" w:color="auto"/>
              </w:divBdr>
            </w:div>
          </w:divsChild>
        </w:div>
        <w:div w:id="507326797">
          <w:marLeft w:val="0"/>
          <w:marRight w:val="0"/>
          <w:marTop w:val="0"/>
          <w:marBottom w:val="0"/>
          <w:divBdr>
            <w:top w:val="none" w:sz="0" w:space="0" w:color="auto"/>
            <w:left w:val="none" w:sz="0" w:space="0" w:color="auto"/>
            <w:bottom w:val="none" w:sz="0" w:space="0" w:color="auto"/>
            <w:right w:val="none" w:sz="0" w:space="0" w:color="auto"/>
          </w:divBdr>
          <w:divsChild>
            <w:div w:id="1681278571">
              <w:marLeft w:val="0"/>
              <w:marRight w:val="0"/>
              <w:marTop w:val="0"/>
              <w:marBottom w:val="0"/>
              <w:divBdr>
                <w:top w:val="none" w:sz="0" w:space="0" w:color="auto"/>
                <w:left w:val="none" w:sz="0" w:space="0" w:color="auto"/>
                <w:bottom w:val="none" w:sz="0" w:space="0" w:color="auto"/>
                <w:right w:val="none" w:sz="0" w:space="0" w:color="auto"/>
              </w:divBdr>
            </w:div>
          </w:divsChild>
        </w:div>
        <w:div w:id="1660309371">
          <w:marLeft w:val="0"/>
          <w:marRight w:val="0"/>
          <w:marTop w:val="0"/>
          <w:marBottom w:val="0"/>
          <w:divBdr>
            <w:top w:val="none" w:sz="0" w:space="0" w:color="auto"/>
            <w:left w:val="none" w:sz="0" w:space="0" w:color="auto"/>
            <w:bottom w:val="none" w:sz="0" w:space="0" w:color="auto"/>
            <w:right w:val="none" w:sz="0" w:space="0" w:color="auto"/>
          </w:divBdr>
          <w:divsChild>
            <w:div w:id="1997031802">
              <w:marLeft w:val="0"/>
              <w:marRight w:val="0"/>
              <w:marTop w:val="0"/>
              <w:marBottom w:val="0"/>
              <w:divBdr>
                <w:top w:val="none" w:sz="0" w:space="0" w:color="auto"/>
                <w:left w:val="none" w:sz="0" w:space="0" w:color="auto"/>
                <w:bottom w:val="none" w:sz="0" w:space="0" w:color="auto"/>
                <w:right w:val="none" w:sz="0" w:space="0" w:color="auto"/>
              </w:divBdr>
            </w:div>
          </w:divsChild>
        </w:div>
        <w:div w:id="1228569152">
          <w:marLeft w:val="0"/>
          <w:marRight w:val="0"/>
          <w:marTop w:val="0"/>
          <w:marBottom w:val="0"/>
          <w:divBdr>
            <w:top w:val="none" w:sz="0" w:space="0" w:color="auto"/>
            <w:left w:val="none" w:sz="0" w:space="0" w:color="auto"/>
            <w:bottom w:val="none" w:sz="0" w:space="0" w:color="auto"/>
            <w:right w:val="none" w:sz="0" w:space="0" w:color="auto"/>
          </w:divBdr>
          <w:divsChild>
            <w:div w:id="934677093">
              <w:marLeft w:val="0"/>
              <w:marRight w:val="0"/>
              <w:marTop w:val="0"/>
              <w:marBottom w:val="0"/>
              <w:divBdr>
                <w:top w:val="none" w:sz="0" w:space="0" w:color="auto"/>
                <w:left w:val="none" w:sz="0" w:space="0" w:color="auto"/>
                <w:bottom w:val="none" w:sz="0" w:space="0" w:color="auto"/>
                <w:right w:val="none" w:sz="0" w:space="0" w:color="auto"/>
              </w:divBdr>
            </w:div>
          </w:divsChild>
        </w:div>
        <w:div w:id="211692571">
          <w:marLeft w:val="0"/>
          <w:marRight w:val="0"/>
          <w:marTop w:val="0"/>
          <w:marBottom w:val="0"/>
          <w:divBdr>
            <w:top w:val="none" w:sz="0" w:space="0" w:color="auto"/>
            <w:left w:val="none" w:sz="0" w:space="0" w:color="auto"/>
            <w:bottom w:val="none" w:sz="0" w:space="0" w:color="auto"/>
            <w:right w:val="none" w:sz="0" w:space="0" w:color="auto"/>
          </w:divBdr>
          <w:divsChild>
            <w:div w:id="329214637">
              <w:marLeft w:val="0"/>
              <w:marRight w:val="0"/>
              <w:marTop w:val="0"/>
              <w:marBottom w:val="0"/>
              <w:divBdr>
                <w:top w:val="none" w:sz="0" w:space="0" w:color="auto"/>
                <w:left w:val="none" w:sz="0" w:space="0" w:color="auto"/>
                <w:bottom w:val="none" w:sz="0" w:space="0" w:color="auto"/>
                <w:right w:val="none" w:sz="0" w:space="0" w:color="auto"/>
              </w:divBdr>
            </w:div>
          </w:divsChild>
        </w:div>
        <w:div w:id="315688819">
          <w:marLeft w:val="0"/>
          <w:marRight w:val="0"/>
          <w:marTop w:val="0"/>
          <w:marBottom w:val="0"/>
          <w:divBdr>
            <w:top w:val="none" w:sz="0" w:space="0" w:color="auto"/>
            <w:left w:val="none" w:sz="0" w:space="0" w:color="auto"/>
            <w:bottom w:val="none" w:sz="0" w:space="0" w:color="auto"/>
            <w:right w:val="none" w:sz="0" w:space="0" w:color="auto"/>
          </w:divBdr>
          <w:divsChild>
            <w:div w:id="666052461">
              <w:marLeft w:val="0"/>
              <w:marRight w:val="0"/>
              <w:marTop w:val="0"/>
              <w:marBottom w:val="0"/>
              <w:divBdr>
                <w:top w:val="none" w:sz="0" w:space="0" w:color="auto"/>
                <w:left w:val="none" w:sz="0" w:space="0" w:color="auto"/>
                <w:bottom w:val="none" w:sz="0" w:space="0" w:color="auto"/>
                <w:right w:val="none" w:sz="0" w:space="0" w:color="auto"/>
              </w:divBdr>
              <w:divsChild>
                <w:div w:id="1078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1904">
          <w:marLeft w:val="0"/>
          <w:marRight w:val="0"/>
          <w:marTop w:val="0"/>
          <w:marBottom w:val="0"/>
          <w:divBdr>
            <w:top w:val="none" w:sz="0" w:space="0" w:color="auto"/>
            <w:left w:val="none" w:sz="0" w:space="0" w:color="auto"/>
            <w:bottom w:val="none" w:sz="0" w:space="0" w:color="auto"/>
            <w:right w:val="none" w:sz="0" w:space="0" w:color="auto"/>
          </w:divBdr>
          <w:divsChild>
            <w:div w:id="1623338911">
              <w:marLeft w:val="0"/>
              <w:marRight w:val="0"/>
              <w:marTop w:val="0"/>
              <w:marBottom w:val="0"/>
              <w:divBdr>
                <w:top w:val="none" w:sz="0" w:space="0" w:color="auto"/>
                <w:left w:val="none" w:sz="0" w:space="0" w:color="auto"/>
                <w:bottom w:val="none" w:sz="0" w:space="0" w:color="auto"/>
                <w:right w:val="none" w:sz="0" w:space="0" w:color="auto"/>
              </w:divBdr>
            </w:div>
          </w:divsChild>
        </w:div>
        <w:div w:id="2015953042">
          <w:marLeft w:val="0"/>
          <w:marRight w:val="0"/>
          <w:marTop w:val="0"/>
          <w:marBottom w:val="0"/>
          <w:divBdr>
            <w:top w:val="none" w:sz="0" w:space="0" w:color="auto"/>
            <w:left w:val="none" w:sz="0" w:space="0" w:color="auto"/>
            <w:bottom w:val="none" w:sz="0" w:space="0" w:color="auto"/>
            <w:right w:val="none" w:sz="0" w:space="0" w:color="auto"/>
          </w:divBdr>
          <w:divsChild>
            <w:div w:id="1369725307">
              <w:marLeft w:val="0"/>
              <w:marRight w:val="0"/>
              <w:marTop w:val="0"/>
              <w:marBottom w:val="0"/>
              <w:divBdr>
                <w:top w:val="none" w:sz="0" w:space="0" w:color="auto"/>
                <w:left w:val="none" w:sz="0" w:space="0" w:color="auto"/>
                <w:bottom w:val="none" w:sz="0" w:space="0" w:color="auto"/>
                <w:right w:val="none" w:sz="0" w:space="0" w:color="auto"/>
              </w:divBdr>
            </w:div>
          </w:divsChild>
        </w:div>
        <w:div w:id="463737489">
          <w:marLeft w:val="0"/>
          <w:marRight w:val="0"/>
          <w:marTop w:val="0"/>
          <w:marBottom w:val="0"/>
          <w:divBdr>
            <w:top w:val="none" w:sz="0" w:space="0" w:color="auto"/>
            <w:left w:val="none" w:sz="0" w:space="0" w:color="auto"/>
            <w:bottom w:val="none" w:sz="0" w:space="0" w:color="auto"/>
            <w:right w:val="none" w:sz="0" w:space="0" w:color="auto"/>
          </w:divBdr>
          <w:divsChild>
            <w:div w:id="2021733610">
              <w:marLeft w:val="0"/>
              <w:marRight w:val="0"/>
              <w:marTop w:val="0"/>
              <w:marBottom w:val="0"/>
              <w:divBdr>
                <w:top w:val="none" w:sz="0" w:space="0" w:color="auto"/>
                <w:left w:val="none" w:sz="0" w:space="0" w:color="auto"/>
                <w:bottom w:val="none" w:sz="0" w:space="0" w:color="auto"/>
                <w:right w:val="none" w:sz="0" w:space="0" w:color="auto"/>
              </w:divBdr>
            </w:div>
          </w:divsChild>
        </w:div>
        <w:div w:id="170530847">
          <w:marLeft w:val="0"/>
          <w:marRight w:val="0"/>
          <w:marTop w:val="0"/>
          <w:marBottom w:val="0"/>
          <w:divBdr>
            <w:top w:val="none" w:sz="0" w:space="0" w:color="auto"/>
            <w:left w:val="none" w:sz="0" w:space="0" w:color="auto"/>
            <w:bottom w:val="none" w:sz="0" w:space="0" w:color="auto"/>
            <w:right w:val="none" w:sz="0" w:space="0" w:color="auto"/>
          </w:divBdr>
          <w:divsChild>
            <w:div w:id="1506089202">
              <w:marLeft w:val="0"/>
              <w:marRight w:val="0"/>
              <w:marTop w:val="0"/>
              <w:marBottom w:val="0"/>
              <w:divBdr>
                <w:top w:val="none" w:sz="0" w:space="0" w:color="auto"/>
                <w:left w:val="none" w:sz="0" w:space="0" w:color="auto"/>
                <w:bottom w:val="none" w:sz="0" w:space="0" w:color="auto"/>
                <w:right w:val="none" w:sz="0" w:space="0" w:color="auto"/>
              </w:divBdr>
            </w:div>
          </w:divsChild>
        </w:div>
        <w:div w:id="103963877">
          <w:marLeft w:val="0"/>
          <w:marRight w:val="0"/>
          <w:marTop w:val="0"/>
          <w:marBottom w:val="0"/>
          <w:divBdr>
            <w:top w:val="none" w:sz="0" w:space="0" w:color="auto"/>
            <w:left w:val="none" w:sz="0" w:space="0" w:color="auto"/>
            <w:bottom w:val="none" w:sz="0" w:space="0" w:color="auto"/>
            <w:right w:val="none" w:sz="0" w:space="0" w:color="auto"/>
          </w:divBdr>
          <w:divsChild>
            <w:div w:id="1528175461">
              <w:marLeft w:val="0"/>
              <w:marRight w:val="0"/>
              <w:marTop w:val="0"/>
              <w:marBottom w:val="0"/>
              <w:divBdr>
                <w:top w:val="none" w:sz="0" w:space="0" w:color="auto"/>
                <w:left w:val="none" w:sz="0" w:space="0" w:color="auto"/>
                <w:bottom w:val="none" w:sz="0" w:space="0" w:color="auto"/>
                <w:right w:val="none" w:sz="0" w:space="0" w:color="auto"/>
              </w:divBdr>
            </w:div>
          </w:divsChild>
        </w:div>
        <w:div w:id="112410461">
          <w:marLeft w:val="0"/>
          <w:marRight w:val="0"/>
          <w:marTop w:val="0"/>
          <w:marBottom w:val="0"/>
          <w:divBdr>
            <w:top w:val="none" w:sz="0" w:space="0" w:color="auto"/>
            <w:left w:val="none" w:sz="0" w:space="0" w:color="auto"/>
            <w:bottom w:val="none" w:sz="0" w:space="0" w:color="auto"/>
            <w:right w:val="none" w:sz="0" w:space="0" w:color="auto"/>
          </w:divBdr>
          <w:divsChild>
            <w:div w:id="1580558784">
              <w:marLeft w:val="0"/>
              <w:marRight w:val="0"/>
              <w:marTop w:val="0"/>
              <w:marBottom w:val="0"/>
              <w:divBdr>
                <w:top w:val="none" w:sz="0" w:space="0" w:color="auto"/>
                <w:left w:val="none" w:sz="0" w:space="0" w:color="auto"/>
                <w:bottom w:val="none" w:sz="0" w:space="0" w:color="auto"/>
                <w:right w:val="none" w:sz="0" w:space="0" w:color="auto"/>
              </w:divBdr>
            </w:div>
          </w:divsChild>
        </w:div>
        <w:div w:id="1472209810">
          <w:marLeft w:val="0"/>
          <w:marRight w:val="0"/>
          <w:marTop w:val="0"/>
          <w:marBottom w:val="0"/>
          <w:divBdr>
            <w:top w:val="none" w:sz="0" w:space="0" w:color="auto"/>
            <w:left w:val="none" w:sz="0" w:space="0" w:color="auto"/>
            <w:bottom w:val="none" w:sz="0" w:space="0" w:color="auto"/>
            <w:right w:val="none" w:sz="0" w:space="0" w:color="auto"/>
          </w:divBdr>
          <w:divsChild>
            <w:div w:id="2033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5698">
      <w:bodyDiv w:val="1"/>
      <w:marLeft w:val="0"/>
      <w:marRight w:val="0"/>
      <w:marTop w:val="0"/>
      <w:marBottom w:val="0"/>
      <w:divBdr>
        <w:top w:val="none" w:sz="0" w:space="0" w:color="auto"/>
        <w:left w:val="none" w:sz="0" w:space="0" w:color="auto"/>
        <w:bottom w:val="none" w:sz="0" w:space="0" w:color="auto"/>
        <w:right w:val="none" w:sz="0" w:space="0" w:color="auto"/>
      </w:divBdr>
    </w:div>
    <w:div w:id="970550584">
      <w:bodyDiv w:val="1"/>
      <w:marLeft w:val="0"/>
      <w:marRight w:val="0"/>
      <w:marTop w:val="0"/>
      <w:marBottom w:val="0"/>
      <w:divBdr>
        <w:top w:val="none" w:sz="0" w:space="0" w:color="auto"/>
        <w:left w:val="none" w:sz="0" w:space="0" w:color="auto"/>
        <w:bottom w:val="none" w:sz="0" w:space="0" w:color="auto"/>
        <w:right w:val="none" w:sz="0" w:space="0" w:color="auto"/>
      </w:divBdr>
    </w:div>
    <w:div w:id="1042048819">
      <w:bodyDiv w:val="1"/>
      <w:marLeft w:val="0"/>
      <w:marRight w:val="0"/>
      <w:marTop w:val="0"/>
      <w:marBottom w:val="0"/>
      <w:divBdr>
        <w:top w:val="none" w:sz="0" w:space="0" w:color="auto"/>
        <w:left w:val="none" w:sz="0" w:space="0" w:color="auto"/>
        <w:bottom w:val="none" w:sz="0" w:space="0" w:color="auto"/>
        <w:right w:val="none" w:sz="0" w:space="0" w:color="auto"/>
      </w:divBdr>
    </w:div>
    <w:div w:id="1071153128">
      <w:bodyDiv w:val="1"/>
      <w:marLeft w:val="0"/>
      <w:marRight w:val="0"/>
      <w:marTop w:val="0"/>
      <w:marBottom w:val="0"/>
      <w:divBdr>
        <w:top w:val="none" w:sz="0" w:space="0" w:color="auto"/>
        <w:left w:val="none" w:sz="0" w:space="0" w:color="auto"/>
        <w:bottom w:val="none" w:sz="0" w:space="0" w:color="auto"/>
        <w:right w:val="none" w:sz="0" w:space="0" w:color="auto"/>
      </w:divBdr>
    </w:div>
    <w:div w:id="1287394518">
      <w:bodyDiv w:val="1"/>
      <w:marLeft w:val="0"/>
      <w:marRight w:val="0"/>
      <w:marTop w:val="0"/>
      <w:marBottom w:val="0"/>
      <w:divBdr>
        <w:top w:val="none" w:sz="0" w:space="0" w:color="auto"/>
        <w:left w:val="none" w:sz="0" w:space="0" w:color="auto"/>
        <w:bottom w:val="none" w:sz="0" w:space="0" w:color="auto"/>
        <w:right w:val="none" w:sz="0" w:space="0" w:color="auto"/>
      </w:divBdr>
    </w:div>
    <w:div w:id="1287590323">
      <w:bodyDiv w:val="1"/>
      <w:marLeft w:val="0"/>
      <w:marRight w:val="0"/>
      <w:marTop w:val="0"/>
      <w:marBottom w:val="0"/>
      <w:divBdr>
        <w:top w:val="none" w:sz="0" w:space="0" w:color="auto"/>
        <w:left w:val="none" w:sz="0" w:space="0" w:color="auto"/>
        <w:bottom w:val="none" w:sz="0" w:space="0" w:color="auto"/>
        <w:right w:val="none" w:sz="0" w:space="0" w:color="auto"/>
      </w:divBdr>
    </w:div>
    <w:div w:id="1330014520">
      <w:bodyDiv w:val="1"/>
      <w:marLeft w:val="0"/>
      <w:marRight w:val="0"/>
      <w:marTop w:val="0"/>
      <w:marBottom w:val="0"/>
      <w:divBdr>
        <w:top w:val="none" w:sz="0" w:space="0" w:color="auto"/>
        <w:left w:val="none" w:sz="0" w:space="0" w:color="auto"/>
        <w:bottom w:val="none" w:sz="0" w:space="0" w:color="auto"/>
        <w:right w:val="none" w:sz="0" w:space="0" w:color="auto"/>
      </w:divBdr>
    </w:div>
    <w:div w:id="1336416883">
      <w:bodyDiv w:val="1"/>
      <w:marLeft w:val="0"/>
      <w:marRight w:val="0"/>
      <w:marTop w:val="0"/>
      <w:marBottom w:val="0"/>
      <w:divBdr>
        <w:top w:val="none" w:sz="0" w:space="0" w:color="auto"/>
        <w:left w:val="none" w:sz="0" w:space="0" w:color="auto"/>
        <w:bottom w:val="none" w:sz="0" w:space="0" w:color="auto"/>
        <w:right w:val="none" w:sz="0" w:space="0" w:color="auto"/>
      </w:divBdr>
      <w:divsChild>
        <w:div w:id="608703319">
          <w:marLeft w:val="0"/>
          <w:marRight w:val="0"/>
          <w:marTop w:val="0"/>
          <w:marBottom w:val="0"/>
          <w:divBdr>
            <w:top w:val="none" w:sz="0" w:space="0" w:color="auto"/>
            <w:left w:val="none" w:sz="0" w:space="0" w:color="auto"/>
            <w:bottom w:val="none" w:sz="0" w:space="0" w:color="auto"/>
            <w:right w:val="none" w:sz="0" w:space="0" w:color="auto"/>
          </w:divBdr>
          <w:divsChild>
            <w:div w:id="152306606">
              <w:marLeft w:val="0"/>
              <w:marRight w:val="0"/>
              <w:marTop w:val="0"/>
              <w:marBottom w:val="0"/>
              <w:divBdr>
                <w:top w:val="none" w:sz="0" w:space="0" w:color="auto"/>
                <w:left w:val="none" w:sz="0" w:space="0" w:color="auto"/>
                <w:bottom w:val="none" w:sz="0" w:space="0" w:color="auto"/>
                <w:right w:val="none" w:sz="0" w:space="0" w:color="auto"/>
              </w:divBdr>
              <w:divsChild>
                <w:div w:id="440805796">
                  <w:marLeft w:val="0"/>
                  <w:marRight w:val="0"/>
                  <w:marTop w:val="0"/>
                  <w:marBottom w:val="0"/>
                  <w:divBdr>
                    <w:top w:val="none" w:sz="0" w:space="0" w:color="auto"/>
                    <w:left w:val="none" w:sz="0" w:space="0" w:color="auto"/>
                    <w:bottom w:val="none" w:sz="0" w:space="0" w:color="auto"/>
                    <w:right w:val="none" w:sz="0" w:space="0" w:color="auto"/>
                  </w:divBdr>
                  <w:divsChild>
                    <w:div w:id="412821703">
                      <w:marLeft w:val="0"/>
                      <w:marRight w:val="0"/>
                      <w:marTop w:val="0"/>
                      <w:marBottom w:val="0"/>
                      <w:divBdr>
                        <w:top w:val="none" w:sz="0" w:space="0" w:color="auto"/>
                        <w:left w:val="none" w:sz="0" w:space="0" w:color="auto"/>
                        <w:bottom w:val="none" w:sz="0" w:space="0" w:color="auto"/>
                        <w:right w:val="none" w:sz="0" w:space="0" w:color="auto"/>
                      </w:divBdr>
                    </w:div>
                    <w:div w:id="429082129">
                      <w:marLeft w:val="375"/>
                      <w:marRight w:val="0"/>
                      <w:marTop w:val="0"/>
                      <w:marBottom w:val="0"/>
                      <w:divBdr>
                        <w:top w:val="none" w:sz="0" w:space="0" w:color="auto"/>
                        <w:left w:val="none" w:sz="0" w:space="0" w:color="auto"/>
                        <w:bottom w:val="none" w:sz="0" w:space="0" w:color="auto"/>
                        <w:right w:val="none" w:sz="0" w:space="0" w:color="auto"/>
                      </w:divBdr>
                      <w:divsChild>
                        <w:div w:id="1567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965520">
      <w:bodyDiv w:val="1"/>
      <w:marLeft w:val="0"/>
      <w:marRight w:val="0"/>
      <w:marTop w:val="0"/>
      <w:marBottom w:val="0"/>
      <w:divBdr>
        <w:top w:val="none" w:sz="0" w:space="0" w:color="auto"/>
        <w:left w:val="none" w:sz="0" w:space="0" w:color="auto"/>
        <w:bottom w:val="none" w:sz="0" w:space="0" w:color="auto"/>
        <w:right w:val="none" w:sz="0" w:space="0" w:color="auto"/>
      </w:divBdr>
    </w:div>
    <w:div w:id="1440105445">
      <w:bodyDiv w:val="1"/>
      <w:marLeft w:val="0"/>
      <w:marRight w:val="0"/>
      <w:marTop w:val="0"/>
      <w:marBottom w:val="0"/>
      <w:divBdr>
        <w:top w:val="none" w:sz="0" w:space="0" w:color="auto"/>
        <w:left w:val="none" w:sz="0" w:space="0" w:color="auto"/>
        <w:bottom w:val="none" w:sz="0" w:space="0" w:color="auto"/>
        <w:right w:val="none" w:sz="0" w:space="0" w:color="auto"/>
      </w:divBdr>
    </w:div>
    <w:div w:id="1456366141">
      <w:bodyDiv w:val="1"/>
      <w:marLeft w:val="0"/>
      <w:marRight w:val="0"/>
      <w:marTop w:val="0"/>
      <w:marBottom w:val="0"/>
      <w:divBdr>
        <w:top w:val="none" w:sz="0" w:space="0" w:color="auto"/>
        <w:left w:val="none" w:sz="0" w:space="0" w:color="auto"/>
        <w:bottom w:val="none" w:sz="0" w:space="0" w:color="auto"/>
        <w:right w:val="none" w:sz="0" w:space="0" w:color="auto"/>
      </w:divBdr>
    </w:div>
    <w:div w:id="1544975197">
      <w:bodyDiv w:val="1"/>
      <w:marLeft w:val="0"/>
      <w:marRight w:val="0"/>
      <w:marTop w:val="0"/>
      <w:marBottom w:val="0"/>
      <w:divBdr>
        <w:top w:val="none" w:sz="0" w:space="0" w:color="auto"/>
        <w:left w:val="none" w:sz="0" w:space="0" w:color="auto"/>
        <w:bottom w:val="none" w:sz="0" w:space="0" w:color="auto"/>
        <w:right w:val="none" w:sz="0" w:space="0" w:color="auto"/>
      </w:divBdr>
    </w:div>
    <w:div w:id="1608343027">
      <w:bodyDiv w:val="1"/>
      <w:marLeft w:val="0"/>
      <w:marRight w:val="0"/>
      <w:marTop w:val="0"/>
      <w:marBottom w:val="0"/>
      <w:divBdr>
        <w:top w:val="none" w:sz="0" w:space="0" w:color="auto"/>
        <w:left w:val="none" w:sz="0" w:space="0" w:color="auto"/>
        <w:bottom w:val="none" w:sz="0" w:space="0" w:color="auto"/>
        <w:right w:val="none" w:sz="0" w:space="0" w:color="auto"/>
      </w:divBdr>
    </w:div>
    <w:div w:id="1719087949">
      <w:bodyDiv w:val="1"/>
      <w:marLeft w:val="0"/>
      <w:marRight w:val="0"/>
      <w:marTop w:val="0"/>
      <w:marBottom w:val="0"/>
      <w:divBdr>
        <w:top w:val="none" w:sz="0" w:space="0" w:color="auto"/>
        <w:left w:val="none" w:sz="0" w:space="0" w:color="auto"/>
        <w:bottom w:val="none" w:sz="0" w:space="0" w:color="auto"/>
        <w:right w:val="none" w:sz="0" w:space="0" w:color="auto"/>
      </w:divBdr>
    </w:div>
    <w:div w:id="1771967922">
      <w:bodyDiv w:val="1"/>
      <w:marLeft w:val="0"/>
      <w:marRight w:val="0"/>
      <w:marTop w:val="0"/>
      <w:marBottom w:val="0"/>
      <w:divBdr>
        <w:top w:val="none" w:sz="0" w:space="0" w:color="auto"/>
        <w:left w:val="none" w:sz="0" w:space="0" w:color="auto"/>
        <w:bottom w:val="none" w:sz="0" w:space="0" w:color="auto"/>
        <w:right w:val="none" w:sz="0" w:space="0" w:color="auto"/>
      </w:divBdr>
    </w:div>
    <w:div w:id="1772241303">
      <w:bodyDiv w:val="1"/>
      <w:marLeft w:val="0"/>
      <w:marRight w:val="0"/>
      <w:marTop w:val="0"/>
      <w:marBottom w:val="0"/>
      <w:divBdr>
        <w:top w:val="none" w:sz="0" w:space="0" w:color="auto"/>
        <w:left w:val="none" w:sz="0" w:space="0" w:color="auto"/>
        <w:bottom w:val="none" w:sz="0" w:space="0" w:color="auto"/>
        <w:right w:val="none" w:sz="0" w:space="0" w:color="auto"/>
      </w:divBdr>
    </w:div>
    <w:div w:id="1936404802">
      <w:bodyDiv w:val="1"/>
      <w:marLeft w:val="0"/>
      <w:marRight w:val="0"/>
      <w:marTop w:val="0"/>
      <w:marBottom w:val="0"/>
      <w:divBdr>
        <w:top w:val="none" w:sz="0" w:space="0" w:color="auto"/>
        <w:left w:val="none" w:sz="0" w:space="0" w:color="auto"/>
        <w:bottom w:val="none" w:sz="0" w:space="0" w:color="auto"/>
        <w:right w:val="none" w:sz="0" w:space="0" w:color="auto"/>
      </w:divBdr>
    </w:div>
    <w:div w:id="1949316367">
      <w:bodyDiv w:val="1"/>
      <w:marLeft w:val="0"/>
      <w:marRight w:val="0"/>
      <w:marTop w:val="0"/>
      <w:marBottom w:val="0"/>
      <w:divBdr>
        <w:top w:val="none" w:sz="0" w:space="0" w:color="auto"/>
        <w:left w:val="none" w:sz="0" w:space="0" w:color="auto"/>
        <w:bottom w:val="none" w:sz="0" w:space="0" w:color="auto"/>
        <w:right w:val="none" w:sz="0" w:space="0" w:color="auto"/>
      </w:divBdr>
    </w:div>
    <w:div w:id="1967617710">
      <w:bodyDiv w:val="1"/>
      <w:marLeft w:val="0"/>
      <w:marRight w:val="0"/>
      <w:marTop w:val="0"/>
      <w:marBottom w:val="0"/>
      <w:divBdr>
        <w:top w:val="none" w:sz="0" w:space="0" w:color="auto"/>
        <w:left w:val="none" w:sz="0" w:space="0" w:color="auto"/>
        <w:bottom w:val="none" w:sz="0" w:space="0" w:color="auto"/>
        <w:right w:val="none" w:sz="0" w:space="0" w:color="auto"/>
      </w:divBdr>
    </w:div>
    <w:div w:id="21193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2/14/contents/enacte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hodesbest@mansfiel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83170/Guidance_for_local_delivery_partners_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2.safelinks.protection.outlook.com/?url=https%3A%2F%2Fwww.gov.uk%2Fgovernment%2Fpublications%2Faccess-to-taxis-and-private-hire-vehicles-for-disabled-users&amp;data=05%7C01%7CTaxis%40dft.gov.uk%7C9680a186f62d4aede10308da52bb08db%7C28b782fb41e148eabfc3ad7558ce7136%7C0%7C0%7C637913260494228524%7CUnknown%7CTWFpbGZsb3d8eyJWIjoiMC4wLjAwMDAiLCJQIjoiV2luMzIiLCJBTiI6Ik1haWwiLCJXVCI6Mn0%3D%7C3000%7C%7C%7C&amp;sdata=XvWAbGoMotrceUaVTlfzFcF3H6vLCJU7Qp3BeIESCLs%3D&amp;reserved=0" TargetMode="External"/><Relationship Id="rId4" Type="http://schemas.openxmlformats.org/officeDocument/2006/relationships/settings" Target="settings.xml"/><Relationship Id="rId9" Type="http://schemas.openxmlformats.org/officeDocument/2006/relationships/hyperlink" Target="https://www.legislation.gov.uk/ukpga/2022/14/contents/enacte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8B5F-6E8D-42DF-A46B-4015FFD1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0</TotalTime>
  <Pages>8</Pages>
  <Words>2572</Words>
  <Characters>15462</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17999</CharactersWithSpaces>
  <SharedDoc>false</SharedDoc>
  <HLinks>
    <vt:vector size="6" baseType="variant">
      <vt:variant>
        <vt:i4>852069</vt:i4>
      </vt:variant>
      <vt:variant>
        <vt:i4>0</vt:i4>
      </vt:variant>
      <vt:variant>
        <vt:i4>0</vt:i4>
      </vt:variant>
      <vt:variant>
        <vt:i4>5</vt:i4>
      </vt:variant>
      <vt:variant>
        <vt:lpwstr>mailto:seyre@mansfield.gov.uk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Administrator</cp:lastModifiedBy>
  <cp:revision>2</cp:revision>
  <cp:lastPrinted>2016-12-09T12:27:00Z</cp:lastPrinted>
  <dcterms:created xsi:type="dcterms:W3CDTF">2022-07-07T13:44:00Z</dcterms:created>
  <dcterms:modified xsi:type="dcterms:W3CDTF">2022-07-07T13:44:00Z</dcterms:modified>
</cp:coreProperties>
</file>